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FCAE7" w14:textId="77777777" w:rsidR="00491823" w:rsidRPr="0034587A" w:rsidRDefault="00491823" w:rsidP="00EF35F4">
      <w:pPr>
        <w:jc w:val="both"/>
        <w:rPr>
          <w:rFonts w:ascii="Calibri" w:hAnsi="Calibri" w:cs="Calibri"/>
          <w:sz w:val="24"/>
          <w:szCs w:val="24"/>
        </w:rPr>
      </w:pPr>
    </w:p>
    <w:tbl>
      <w:tblPr>
        <w:tblpPr w:leftFromText="142" w:rightFromText="142" w:topFromText="5528" w:vertAnchor="page" w:horzAnchor="page" w:tblpX="1362" w:tblpY="5104"/>
        <w:tblW w:w="0" w:type="auto"/>
        <w:tblBorders>
          <w:top w:val="single" w:sz="8" w:space="0" w:color="23236E"/>
          <w:bottom w:val="single" w:sz="8" w:space="0" w:color="auto"/>
        </w:tblBorders>
        <w:tblLayout w:type="fixed"/>
        <w:tblCellMar>
          <w:left w:w="0" w:type="dxa"/>
          <w:right w:w="0" w:type="dxa"/>
        </w:tblCellMar>
        <w:tblLook w:val="00A0" w:firstRow="1" w:lastRow="0" w:firstColumn="1" w:lastColumn="0" w:noHBand="0" w:noVBand="0"/>
      </w:tblPr>
      <w:tblGrid>
        <w:gridCol w:w="9524"/>
      </w:tblGrid>
      <w:tr w:rsidR="00491823" w:rsidRPr="008C7BD4" w14:paraId="5233DE73" w14:textId="77777777">
        <w:tc>
          <w:tcPr>
            <w:tcW w:w="9524" w:type="dxa"/>
            <w:tcBorders>
              <w:top w:val="single" w:sz="8" w:space="0" w:color="23236E"/>
            </w:tcBorders>
            <w:tcMar>
              <w:top w:w="198" w:type="dxa"/>
            </w:tcMar>
          </w:tcPr>
          <w:p w14:paraId="2D37D6B0" w14:textId="413E1F3D" w:rsidR="00491823" w:rsidRPr="008C7BD4" w:rsidRDefault="00491823" w:rsidP="006E6C17">
            <w:pPr>
              <w:pStyle w:val="headlineheader"/>
              <w:spacing w:line="276" w:lineRule="auto"/>
              <w:jc w:val="center"/>
              <w:rPr>
                <w:rFonts w:ascii="Calibri" w:hAnsi="Calibri" w:cs="Calibri"/>
                <w:sz w:val="24"/>
                <w:szCs w:val="24"/>
              </w:rPr>
            </w:pPr>
            <w:r w:rsidRPr="008C7BD4">
              <w:rPr>
                <w:rFonts w:ascii="Calibri" w:hAnsi="Calibri" w:cs="Calibri"/>
                <w:sz w:val="24"/>
                <w:szCs w:val="24"/>
              </w:rPr>
              <w:t xml:space="preserve">Regional Specific Annex for </w:t>
            </w:r>
            <w:r w:rsidR="00727D9F">
              <w:rPr>
                <w:rFonts w:ascii="Calibri" w:hAnsi="Calibri" w:cs="Calibri"/>
                <w:sz w:val="24"/>
                <w:szCs w:val="24"/>
              </w:rPr>
              <w:t xml:space="preserve">SEE </w:t>
            </w:r>
            <w:r w:rsidR="006E6C17">
              <w:rPr>
                <w:rFonts w:ascii="Calibri" w:hAnsi="Calibri" w:cs="Calibri"/>
                <w:sz w:val="24"/>
                <w:szCs w:val="24"/>
              </w:rPr>
              <w:t xml:space="preserve">CCR </w:t>
            </w:r>
            <w:r w:rsidRPr="008C7BD4">
              <w:rPr>
                <w:rFonts w:ascii="Calibri" w:hAnsi="Calibri" w:cs="Calibri"/>
                <w:sz w:val="24"/>
                <w:szCs w:val="24"/>
              </w:rPr>
              <w:t>to the Harmonised Allocation Rules for long-term transmission rights (ACER Decision 3/2017), in accordance with Articles 51 and 52(3) of Commi</w:t>
            </w:r>
            <w:r w:rsidR="006878EC">
              <w:rPr>
                <w:rFonts w:ascii="Calibri" w:hAnsi="Calibri" w:cs="Calibri"/>
                <w:sz w:val="24"/>
                <w:szCs w:val="24"/>
              </w:rPr>
              <w:t>s</w:t>
            </w:r>
            <w:r w:rsidRPr="008C7BD4">
              <w:rPr>
                <w:rFonts w:ascii="Calibri" w:hAnsi="Calibri" w:cs="Calibri"/>
                <w:sz w:val="24"/>
                <w:szCs w:val="24"/>
              </w:rPr>
              <w:t>sion Regulation (EU) 2016/1719 of 26 September 2016 establishing a Guideline on Forward Capacity Allocation</w:t>
            </w:r>
          </w:p>
        </w:tc>
      </w:tr>
      <w:tr w:rsidR="00491823" w:rsidRPr="008C7BD4" w14:paraId="66113413" w14:textId="77777777">
        <w:tc>
          <w:tcPr>
            <w:tcW w:w="9524" w:type="dxa"/>
          </w:tcPr>
          <w:p w14:paraId="2AE9CAAE" w14:textId="77777777" w:rsidR="00491823" w:rsidRPr="008C7BD4" w:rsidRDefault="00491823" w:rsidP="008C7BD4">
            <w:pPr>
              <w:pStyle w:val="textheader"/>
              <w:jc w:val="both"/>
              <w:rPr>
                <w:rFonts w:ascii="Calibri" w:hAnsi="Calibri" w:cs="Calibri"/>
                <w:sz w:val="24"/>
                <w:szCs w:val="24"/>
                <w:lang w:val="en-GB"/>
              </w:rPr>
            </w:pPr>
          </w:p>
        </w:tc>
      </w:tr>
      <w:tr w:rsidR="00491823" w:rsidRPr="008C7BD4" w14:paraId="69764E71" w14:textId="77777777">
        <w:trPr>
          <w:trHeight w:val="609"/>
        </w:trPr>
        <w:tc>
          <w:tcPr>
            <w:tcW w:w="9524" w:type="dxa"/>
          </w:tcPr>
          <w:p w14:paraId="3D07A5F4" w14:textId="6F24FAA0" w:rsidR="00085DA9" w:rsidRPr="00085DA9" w:rsidRDefault="00491823" w:rsidP="002F5A24">
            <w:pPr>
              <w:pStyle w:val="textheader"/>
              <w:jc w:val="both"/>
              <w:rPr>
                <w:rFonts w:ascii="Calibri" w:hAnsi="Calibri" w:cs="Calibri"/>
                <w:color w:val="auto"/>
                <w:sz w:val="24"/>
                <w:szCs w:val="24"/>
              </w:rPr>
            </w:pPr>
            <w:r w:rsidRPr="008C7BD4">
              <w:rPr>
                <w:rFonts w:ascii="Calibri" w:hAnsi="Calibri" w:cs="Calibri"/>
                <w:color w:val="auto"/>
                <w:sz w:val="24"/>
                <w:szCs w:val="24"/>
              </w:rPr>
              <w:t xml:space="preserve"> </w:t>
            </w:r>
            <w:r w:rsidR="002F5A24">
              <w:rPr>
                <w:rFonts w:ascii="Calibri" w:hAnsi="Calibri" w:cs="Calibri"/>
                <w:color w:val="auto"/>
                <w:sz w:val="24"/>
                <w:szCs w:val="24"/>
              </w:rPr>
              <w:t>September</w:t>
            </w:r>
            <w:r w:rsidR="002F5A24" w:rsidRPr="008C7BD4">
              <w:rPr>
                <w:rFonts w:ascii="Calibri" w:hAnsi="Calibri" w:cs="Calibri"/>
                <w:color w:val="auto"/>
                <w:sz w:val="24"/>
                <w:szCs w:val="24"/>
              </w:rPr>
              <w:t xml:space="preserve"> </w:t>
            </w:r>
            <w:r w:rsidRPr="008C7BD4">
              <w:rPr>
                <w:rFonts w:ascii="Calibri" w:hAnsi="Calibri" w:cs="Calibri"/>
                <w:color w:val="auto"/>
                <w:sz w:val="24"/>
                <w:szCs w:val="24"/>
              </w:rPr>
              <w:t>2019</w:t>
            </w:r>
          </w:p>
        </w:tc>
      </w:tr>
      <w:tr w:rsidR="00491823" w:rsidRPr="008C7BD4" w14:paraId="39353679" w14:textId="77777777">
        <w:tc>
          <w:tcPr>
            <w:tcW w:w="9524" w:type="dxa"/>
            <w:tcBorders>
              <w:bottom w:val="single" w:sz="8" w:space="0" w:color="auto"/>
            </w:tcBorders>
            <w:tcMar>
              <w:bottom w:w="142" w:type="dxa"/>
            </w:tcMar>
          </w:tcPr>
          <w:p w14:paraId="7AAC25DB" w14:textId="77777777" w:rsidR="00491823" w:rsidRPr="008C7BD4" w:rsidRDefault="00491823" w:rsidP="008C7BD4">
            <w:pPr>
              <w:pStyle w:val="time"/>
              <w:framePr w:hSpace="0" w:vSpace="0" w:wrap="auto" w:vAnchor="margin" w:hAnchor="text" w:xAlign="left" w:yAlign="inline"/>
              <w:jc w:val="both"/>
              <w:rPr>
                <w:rFonts w:ascii="Calibri" w:hAnsi="Calibri" w:cs="Calibri"/>
                <w:sz w:val="24"/>
                <w:szCs w:val="24"/>
                <w:lang w:val="en-GB"/>
              </w:rPr>
            </w:pPr>
          </w:p>
        </w:tc>
      </w:tr>
    </w:tbl>
    <w:p w14:paraId="497799CC" w14:textId="77777777" w:rsidR="00491823" w:rsidRPr="0034587A" w:rsidRDefault="00491823">
      <w:pPr>
        <w:pStyle w:val="textregular"/>
        <w:jc w:val="both"/>
        <w:rPr>
          <w:rFonts w:ascii="Calibri" w:hAnsi="Calibri" w:cs="Calibri"/>
          <w:sz w:val="24"/>
          <w:szCs w:val="24"/>
        </w:rPr>
      </w:pPr>
    </w:p>
    <w:p w14:paraId="0C53F8C9" w14:textId="4AA388AD" w:rsidR="00491823" w:rsidRPr="003C74DB" w:rsidRDefault="00491823" w:rsidP="008D1B0C">
      <w:pPr>
        <w:ind w:left="357"/>
        <w:jc w:val="both"/>
        <w:rPr>
          <w:rFonts w:ascii="Calibri" w:hAnsi="Calibri" w:cs="Calibri"/>
          <w:sz w:val="24"/>
          <w:szCs w:val="24"/>
          <w:lang w:val="en-US"/>
        </w:rPr>
      </w:pPr>
      <w:r w:rsidRPr="003C74DB">
        <w:rPr>
          <w:rFonts w:ascii="Calibri" w:hAnsi="Calibri" w:cs="Calibri"/>
          <w:sz w:val="24"/>
          <w:szCs w:val="24"/>
        </w:rPr>
        <w:br w:type="page"/>
      </w:r>
      <w:r w:rsidRPr="003C74DB">
        <w:rPr>
          <w:rFonts w:ascii="Calibri" w:hAnsi="Calibri" w:cs="Calibri"/>
          <w:sz w:val="24"/>
          <w:szCs w:val="24"/>
          <w:lang w:val="en-US"/>
        </w:rPr>
        <w:lastRenderedPageBreak/>
        <w:t>All TSOs of the SEE CCR (South-East Europe Capacity Calculation Region) taking into account the following,</w:t>
      </w:r>
    </w:p>
    <w:p w14:paraId="0C7BEA0D" w14:textId="77777777" w:rsidR="00491823" w:rsidRPr="003C74DB" w:rsidRDefault="00491823" w:rsidP="008D1B0C">
      <w:pPr>
        <w:spacing w:before="120" w:after="120" w:line="340" w:lineRule="exact"/>
        <w:jc w:val="center"/>
        <w:outlineLvl w:val="0"/>
        <w:rPr>
          <w:rFonts w:ascii="Calibri" w:hAnsi="Calibri" w:cs="Calibri"/>
          <w:b/>
          <w:bCs/>
          <w:color w:val="23236E"/>
          <w:sz w:val="24"/>
          <w:szCs w:val="24"/>
          <w:lang w:val="en-US"/>
        </w:rPr>
      </w:pPr>
      <w:r w:rsidRPr="003C74DB">
        <w:rPr>
          <w:rFonts w:ascii="Calibri" w:hAnsi="Calibri" w:cs="Calibri"/>
          <w:b/>
          <w:bCs/>
          <w:color w:val="23236E"/>
          <w:sz w:val="24"/>
          <w:szCs w:val="24"/>
          <w:lang w:val="en-US"/>
        </w:rPr>
        <w:t>Whereas</w:t>
      </w:r>
    </w:p>
    <w:p w14:paraId="08CE9C97" w14:textId="07701008" w:rsidR="00491823" w:rsidRDefault="00491823">
      <w:pPr>
        <w:numPr>
          <w:ilvl w:val="0"/>
          <w:numId w:val="5"/>
        </w:numPr>
        <w:spacing w:after="120" w:line="259" w:lineRule="auto"/>
        <w:jc w:val="both"/>
        <w:rPr>
          <w:rFonts w:ascii="Calibri" w:hAnsi="Calibri" w:cs="Calibri"/>
          <w:sz w:val="24"/>
          <w:szCs w:val="24"/>
        </w:rPr>
      </w:pPr>
      <w:r w:rsidRPr="003C74DB">
        <w:rPr>
          <w:rFonts w:ascii="Calibri" w:hAnsi="Calibri" w:cs="Calibri"/>
          <w:sz w:val="24"/>
          <w:szCs w:val="24"/>
        </w:rPr>
        <w:t xml:space="preserve">This document is the common proposal developed by the Transmission System Operators of the </w:t>
      </w:r>
      <w:r w:rsidR="00727D9F">
        <w:rPr>
          <w:rFonts w:ascii="Calibri" w:hAnsi="Calibri" w:cs="Calibri"/>
          <w:sz w:val="24"/>
          <w:szCs w:val="24"/>
        </w:rPr>
        <w:t xml:space="preserve">SEE CCR </w:t>
      </w:r>
      <w:r w:rsidRPr="003C74DB">
        <w:rPr>
          <w:rFonts w:ascii="Calibri" w:hAnsi="Calibri" w:cs="Calibri"/>
          <w:sz w:val="24"/>
          <w:szCs w:val="24"/>
        </w:rPr>
        <w:t>(hereafter referred to as “</w:t>
      </w:r>
      <w:r w:rsidRPr="003C74DB">
        <w:rPr>
          <w:rFonts w:ascii="Calibri" w:hAnsi="Calibri" w:cs="Calibri"/>
          <w:b/>
          <w:bCs/>
          <w:sz w:val="24"/>
          <w:szCs w:val="24"/>
        </w:rPr>
        <w:t>TSOs</w:t>
      </w:r>
      <w:r w:rsidRPr="003C74DB">
        <w:rPr>
          <w:rFonts w:ascii="Calibri" w:hAnsi="Calibri" w:cs="Calibri"/>
          <w:sz w:val="24"/>
          <w:szCs w:val="24"/>
        </w:rPr>
        <w:t>”) as defined in the decision No 06/2016 of the Agency for the Cooperation of Energy Regulators of 17 November 2016 pursuant to Article 15(1) of the Commission Regulation (EU) 2015/1222.</w:t>
      </w:r>
    </w:p>
    <w:p w14:paraId="7959F23E" w14:textId="77777777" w:rsidR="00491823" w:rsidRPr="00E246A8" w:rsidRDefault="00491823" w:rsidP="00E246A8">
      <w:pPr>
        <w:numPr>
          <w:ilvl w:val="0"/>
          <w:numId w:val="5"/>
        </w:numPr>
        <w:spacing w:after="120" w:line="259" w:lineRule="auto"/>
        <w:jc w:val="both"/>
        <w:rPr>
          <w:rFonts w:ascii="Calibri" w:hAnsi="Calibri" w:cs="Calibri"/>
          <w:sz w:val="24"/>
          <w:szCs w:val="24"/>
        </w:rPr>
      </w:pPr>
      <w:r w:rsidRPr="007C0154">
        <w:rPr>
          <w:rFonts w:ascii="Calibri" w:hAnsi="Calibri" w:cs="Calibri"/>
          <w:sz w:val="24"/>
          <w:szCs w:val="24"/>
        </w:rPr>
        <w:t>This document constitutes a proposal for a regional specific Annex to the Harmonised Allocation Rules for long-term transmission rights on EU level (hereafter referred to as “</w:t>
      </w:r>
      <w:r w:rsidRPr="007C0154">
        <w:rPr>
          <w:rFonts w:ascii="Calibri" w:hAnsi="Calibri" w:cs="Calibri"/>
          <w:b/>
          <w:bCs/>
          <w:sz w:val="24"/>
          <w:szCs w:val="24"/>
        </w:rPr>
        <w:t>HAR</w:t>
      </w:r>
      <w:r w:rsidRPr="007C0154">
        <w:rPr>
          <w:rFonts w:ascii="Calibri" w:hAnsi="Calibri" w:cs="Calibri"/>
          <w:sz w:val="24"/>
          <w:szCs w:val="24"/>
        </w:rPr>
        <w:t>”) in accordance with Article 51 par. 2 of the FCA Regulation as approved by ACER with its decision No. 03/2017 from 02 October 2017.</w:t>
      </w:r>
    </w:p>
    <w:p w14:paraId="0AAF26DE" w14:textId="77777777" w:rsidR="00491823" w:rsidRPr="003C74DB" w:rsidRDefault="00491823">
      <w:pPr>
        <w:numPr>
          <w:ilvl w:val="0"/>
          <w:numId w:val="5"/>
        </w:numPr>
        <w:spacing w:after="120" w:line="259" w:lineRule="auto"/>
        <w:jc w:val="both"/>
        <w:rPr>
          <w:rFonts w:ascii="Calibri" w:hAnsi="Calibri" w:cs="Calibri"/>
          <w:sz w:val="24"/>
          <w:szCs w:val="24"/>
        </w:rPr>
      </w:pPr>
      <w:r w:rsidRPr="003C74DB">
        <w:rPr>
          <w:rFonts w:ascii="Calibri" w:hAnsi="Calibri" w:cs="Calibri"/>
          <w:sz w:val="24"/>
          <w:szCs w:val="24"/>
        </w:rPr>
        <w:t>This common proposal sets out specific requirements applicable to the CCR at regional and bidding zones border level pursuant to Article 52(3) of Commission Regulation (EU) 2016/1719 establishing a guideline on Forward Capacity Allocation (hereafter referred to as the “</w:t>
      </w:r>
      <w:r w:rsidRPr="003C74DB">
        <w:rPr>
          <w:rFonts w:ascii="Calibri" w:hAnsi="Calibri" w:cs="Calibri"/>
          <w:b/>
          <w:bCs/>
          <w:sz w:val="24"/>
          <w:szCs w:val="24"/>
        </w:rPr>
        <w:t>FCA Regulation</w:t>
      </w:r>
      <w:r w:rsidRPr="003C74DB">
        <w:rPr>
          <w:rFonts w:ascii="Calibri" w:hAnsi="Calibri" w:cs="Calibri"/>
          <w:sz w:val="24"/>
          <w:szCs w:val="24"/>
        </w:rPr>
        <w:t>”).</w:t>
      </w:r>
    </w:p>
    <w:p w14:paraId="7C72CD50" w14:textId="77777777" w:rsidR="00491823" w:rsidRPr="00B07EF0" w:rsidRDefault="00491823">
      <w:pPr>
        <w:numPr>
          <w:ilvl w:val="0"/>
          <w:numId w:val="5"/>
        </w:numPr>
        <w:spacing w:after="120" w:line="259" w:lineRule="auto"/>
        <w:jc w:val="both"/>
        <w:rPr>
          <w:rFonts w:ascii="Calibri" w:hAnsi="Calibri" w:cs="Calibri"/>
          <w:sz w:val="24"/>
          <w:szCs w:val="24"/>
        </w:rPr>
      </w:pPr>
      <w:r w:rsidRPr="00B07EF0">
        <w:rPr>
          <w:rFonts w:ascii="Calibri" w:hAnsi="Calibri" w:cs="Calibri"/>
          <w:sz w:val="24"/>
          <w:szCs w:val="24"/>
        </w:rPr>
        <w:t>This proposal includes the following titles:</w:t>
      </w:r>
    </w:p>
    <w:p w14:paraId="5B3B7EE1" w14:textId="77777777" w:rsidR="00491823" w:rsidRPr="00E246A8" w:rsidRDefault="00491823" w:rsidP="008D1B0C">
      <w:pPr>
        <w:numPr>
          <w:ilvl w:val="1"/>
          <w:numId w:val="5"/>
        </w:numPr>
        <w:spacing w:after="120"/>
        <w:ind w:left="1434" w:hanging="357"/>
        <w:jc w:val="both"/>
        <w:rPr>
          <w:rFonts w:ascii="Calibri" w:hAnsi="Calibri" w:cs="Calibri"/>
          <w:sz w:val="24"/>
          <w:szCs w:val="24"/>
        </w:rPr>
      </w:pPr>
      <w:r w:rsidRPr="00E246A8">
        <w:rPr>
          <w:rFonts w:ascii="Calibri" w:hAnsi="Calibri" w:cs="Calibri"/>
          <w:sz w:val="24"/>
          <w:szCs w:val="24"/>
        </w:rPr>
        <w:t xml:space="preserve">The first title covers general provisions of the proposal; </w:t>
      </w:r>
    </w:p>
    <w:p w14:paraId="147F71A8" w14:textId="77777777" w:rsidR="00491823" w:rsidRPr="004271F5" w:rsidRDefault="00491823" w:rsidP="008D1B0C">
      <w:pPr>
        <w:numPr>
          <w:ilvl w:val="1"/>
          <w:numId w:val="5"/>
        </w:numPr>
        <w:spacing w:after="120"/>
        <w:ind w:left="1434" w:hanging="357"/>
        <w:jc w:val="both"/>
        <w:rPr>
          <w:rFonts w:ascii="Calibri" w:hAnsi="Calibri" w:cs="Calibri"/>
          <w:sz w:val="24"/>
          <w:szCs w:val="24"/>
        </w:rPr>
      </w:pPr>
      <w:r w:rsidRPr="004271F5">
        <w:rPr>
          <w:rFonts w:ascii="Calibri" w:hAnsi="Calibri" w:cs="Calibri"/>
          <w:sz w:val="24"/>
          <w:szCs w:val="24"/>
        </w:rPr>
        <w:t xml:space="preserve">The second title addresses the applicability of a cap on compensations for curtailments in accordance with Article 59 of the HAR; </w:t>
      </w:r>
    </w:p>
    <w:p w14:paraId="7837ED6E" w14:textId="7123C5F7" w:rsidR="00491823" w:rsidRPr="009042A7" w:rsidRDefault="00491823" w:rsidP="008D1B0C">
      <w:pPr>
        <w:numPr>
          <w:ilvl w:val="1"/>
          <w:numId w:val="5"/>
        </w:numPr>
        <w:spacing w:after="120"/>
        <w:ind w:left="1434" w:hanging="357"/>
        <w:jc w:val="both"/>
        <w:rPr>
          <w:rFonts w:ascii="Calibri" w:hAnsi="Calibri" w:cs="Calibri"/>
          <w:sz w:val="24"/>
          <w:szCs w:val="24"/>
        </w:rPr>
      </w:pPr>
      <w:r w:rsidRPr="00DC6A85">
        <w:rPr>
          <w:rFonts w:ascii="Calibri" w:hAnsi="Calibri" w:cs="Calibri"/>
          <w:sz w:val="24"/>
          <w:szCs w:val="24"/>
        </w:rPr>
        <w:t xml:space="preserve">The third title details further regional or bidding zone border specificities applicable to the </w:t>
      </w:r>
      <w:r w:rsidR="00727D9F">
        <w:rPr>
          <w:rFonts w:ascii="Calibri" w:hAnsi="Calibri" w:cs="Calibri"/>
          <w:sz w:val="24"/>
          <w:szCs w:val="24"/>
        </w:rPr>
        <w:t xml:space="preserve">SEE CCR </w:t>
      </w:r>
      <w:r w:rsidRPr="009042A7">
        <w:rPr>
          <w:rFonts w:ascii="Calibri" w:hAnsi="Calibri" w:cs="Calibri"/>
          <w:sz w:val="24"/>
          <w:szCs w:val="24"/>
        </w:rPr>
        <w:t xml:space="preserve">in accordance with Article 52(3) of the FCA Regulation. </w:t>
      </w:r>
    </w:p>
    <w:p w14:paraId="149C8608" w14:textId="046E8461" w:rsidR="00491823" w:rsidRPr="00EC63C3" w:rsidRDefault="00491823">
      <w:pPr>
        <w:numPr>
          <w:ilvl w:val="0"/>
          <w:numId w:val="5"/>
        </w:numPr>
        <w:spacing w:after="120" w:line="259" w:lineRule="auto"/>
        <w:jc w:val="both"/>
        <w:rPr>
          <w:rFonts w:ascii="Calibri" w:hAnsi="Calibri" w:cs="Calibri"/>
          <w:sz w:val="24"/>
          <w:szCs w:val="24"/>
        </w:rPr>
      </w:pPr>
      <w:r w:rsidRPr="005D519E">
        <w:rPr>
          <w:rFonts w:ascii="Calibri" w:hAnsi="Calibri" w:cs="Calibri"/>
          <w:sz w:val="24"/>
          <w:szCs w:val="24"/>
        </w:rPr>
        <w:t>In accordance with Article 6 of the FCA Regulation, proposals at regional level should be submitted to consultation at least at regional level. Accordingly, the provisions in relation to the appli</w:t>
      </w:r>
      <w:r w:rsidRPr="00654600">
        <w:rPr>
          <w:rFonts w:ascii="Calibri" w:hAnsi="Calibri" w:cs="Calibri"/>
          <w:sz w:val="24"/>
          <w:szCs w:val="24"/>
        </w:rPr>
        <w:t xml:space="preserve">cability of the cap were consulted together with the main body of the HAR proposal (as part of the former Annex </w:t>
      </w:r>
      <w:r>
        <w:rPr>
          <w:rFonts w:ascii="Calibri" w:hAnsi="Calibri" w:cs="Calibri"/>
          <w:sz w:val="24"/>
          <w:szCs w:val="24"/>
        </w:rPr>
        <w:t>I</w:t>
      </w:r>
      <w:r w:rsidRPr="00E246A8">
        <w:rPr>
          <w:rFonts w:ascii="Calibri" w:hAnsi="Calibri" w:cs="Calibri"/>
          <w:sz w:val="24"/>
          <w:szCs w:val="24"/>
        </w:rPr>
        <w:t xml:space="preserve"> of that proposal) for a period of not less than a month (namely 16 January until 17 February 2017)</w:t>
      </w:r>
      <w:r w:rsidRPr="004271F5">
        <w:rPr>
          <w:rFonts w:ascii="Calibri" w:hAnsi="Calibri" w:cs="Calibri"/>
          <w:sz w:val="24"/>
          <w:szCs w:val="24"/>
        </w:rPr>
        <w:t xml:space="preserve">. The other regional or bidding zone border specific rules of this proposal </w:t>
      </w:r>
      <w:r w:rsidRPr="00DC6A85">
        <w:rPr>
          <w:rFonts w:ascii="Calibri" w:hAnsi="Calibri" w:cs="Calibri"/>
          <w:sz w:val="24"/>
          <w:szCs w:val="24"/>
        </w:rPr>
        <w:t xml:space="preserve">as contained in the third </w:t>
      </w:r>
      <w:proofErr w:type="gramStart"/>
      <w:r w:rsidRPr="00DC6A85">
        <w:rPr>
          <w:rFonts w:ascii="Calibri" w:hAnsi="Calibri" w:cs="Calibri"/>
          <w:sz w:val="24"/>
          <w:szCs w:val="24"/>
        </w:rPr>
        <w:t>Title,</w:t>
      </w:r>
      <w:proofErr w:type="gramEnd"/>
      <w:r w:rsidRPr="00DC6A85">
        <w:rPr>
          <w:rFonts w:ascii="Calibri" w:hAnsi="Calibri" w:cs="Calibri"/>
          <w:sz w:val="24"/>
          <w:szCs w:val="24"/>
        </w:rPr>
        <w:t xml:space="preserve"> were also consulted upon during the public consultation </w:t>
      </w:r>
      <w:r w:rsidRPr="009042A7">
        <w:rPr>
          <w:rFonts w:ascii="Calibri" w:hAnsi="Calibri" w:cs="Calibri"/>
          <w:sz w:val="24"/>
          <w:szCs w:val="24"/>
        </w:rPr>
        <w:t xml:space="preserve">on the former border/ regional specific Annexes to the HAR. </w:t>
      </w:r>
    </w:p>
    <w:p w14:paraId="53CE9821" w14:textId="1ED9233B" w:rsidR="00491823" w:rsidRPr="00E246A8" w:rsidRDefault="00491823" w:rsidP="008D1B0C">
      <w:pPr>
        <w:numPr>
          <w:ilvl w:val="0"/>
          <w:numId w:val="5"/>
        </w:numPr>
        <w:ind w:left="714" w:hanging="357"/>
        <w:jc w:val="both"/>
        <w:rPr>
          <w:rFonts w:ascii="Calibri" w:hAnsi="Calibri" w:cs="Calibri"/>
          <w:sz w:val="24"/>
          <w:szCs w:val="24"/>
          <w:lang w:val="en-US"/>
        </w:rPr>
      </w:pPr>
      <w:r w:rsidRPr="007C0154">
        <w:rPr>
          <w:rFonts w:ascii="Calibri" w:hAnsi="Calibri" w:cs="Calibri"/>
          <w:sz w:val="24"/>
          <w:szCs w:val="24"/>
        </w:rPr>
        <w:t xml:space="preserve">This proposal constitutes an amendment to the regional specific Annex to the HAR for the SEE CCR approved by ACER with its decision No. 06/2017. It was consulted from </w:t>
      </w:r>
      <w:r>
        <w:rPr>
          <w:rFonts w:ascii="Calibri" w:hAnsi="Calibri" w:cs="Calibri"/>
          <w:sz w:val="24"/>
          <w:szCs w:val="24"/>
        </w:rPr>
        <w:t>8</w:t>
      </w:r>
      <w:r w:rsidRPr="007C0154">
        <w:rPr>
          <w:rFonts w:ascii="Calibri" w:hAnsi="Calibri" w:cs="Calibri"/>
          <w:sz w:val="24"/>
          <w:szCs w:val="24"/>
        </w:rPr>
        <w:t xml:space="preserve"> October unt</w:t>
      </w:r>
      <w:r>
        <w:rPr>
          <w:rFonts w:ascii="Calibri" w:hAnsi="Calibri" w:cs="Calibri"/>
          <w:sz w:val="24"/>
          <w:szCs w:val="24"/>
        </w:rPr>
        <w:t>i</w:t>
      </w:r>
      <w:r w:rsidRPr="007C0154">
        <w:rPr>
          <w:rFonts w:ascii="Calibri" w:hAnsi="Calibri" w:cs="Calibri"/>
          <w:sz w:val="24"/>
          <w:szCs w:val="24"/>
        </w:rPr>
        <w:t xml:space="preserve">l </w:t>
      </w:r>
      <w:r>
        <w:rPr>
          <w:rFonts w:ascii="Calibri" w:hAnsi="Calibri" w:cs="Calibri"/>
          <w:sz w:val="24"/>
          <w:szCs w:val="24"/>
        </w:rPr>
        <w:t>8</w:t>
      </w:r>
      <w:r w:rsidRPr="007C0154">
        <w:rPr>
          <w:rFonts w:ascii="Calibri" w:hAnsi="Calibri" w:cs="Calibri"/>
          <w:sz w:val="24"/>
          <w:szCs w:val="24"/>
        </w:rPr>
        <w:t xml:space="preserve"> November 2018 and it is now submitted for the approval</w:t>
      </w:r>
      <w:r w:rsidRPr="00E246A8">
        <w:rPr>
          <w:rFonts w:ascii="Calibri" w:hAnsi="Calibri" w:cs="Calibri"/>
          <w:sz w:val="24"/>
          <w:szCs w:val="24"/>
        </w:rPr>
        <w:t xml:space="preserve"> </w:t>
      </w:r>
      <w:r w:rsidRPr="00E246A8">
        <w:rPr>
          <w:rFonts w:ascii="Calibri" w:hAnsi="Calibri" w:cs="Calibri"/>
          <w:sz w:val="24"/>
          <w:szCs w:val="24"/>
          <w:lang w:val="en-US"/>
        </w:rPr>
        <w:t>of</w:t>
      </w:r>
      <w:r w:rsidRPr="00B07EF0">
        <w:rPr>
          <w:rFonts w:ascii="Calibri" w:hAnsi="Calibri" w:cs="Calibri"/>
          <w:sz w:val="24"/>
          <w:szCs w:val="24"/>
          <w:lang w:val="en-US"/>
        </w:rPr>
        <w:t xml:space="preserve"> all National Regulatory Authorities (hereafter referred to as t</w:t>
      </w:r>
      <w:r w:rsidRPr="00E246A8">
        <w:rPr>
          <w:rFonts w:ascii="Calibri" w:hAnsi="Calibri" w:cs="Calibri"/>
          <w:sz w:val="24"/>
          <w:szCs w:val="24"/>
          <w:lang w:val="en-US"/>
        </w:rPr>
        <w:t>he “</w:t>
      </w:r>
      <w:r w:rsidRPr="00E246A8">
        <w:rPr>
          <w:rFonts w:ascii="Calibri" w:hAnsi="Calibri" w:cs="Calibri"/>
          <w:b/>
          <w:bCs/>
          <w:sz w:val="24"/>
          <w:szCs w:val="24"/>
          <w:lang w:val="en-US"/>
        </w:rPr>
        <w:t>NRAs”</w:t>
      </w:r>
      <w:r w:rsidRPr="00E246A8">
        <w:rPr>
          <w:rFonts w:ascii="Calibri" w:hAnsi="Calibri" w:cs="Calibri"/>
          <w:sz w:val="24"/>
          <w:szCs w:val="24"/>
          <w:lang w:val="en-US"/>
        </w:rPr>
        <w:t>) of the SEE</w:t>
      </w:r>
      <w:r w:rsidR="00961B52">
        <w:rPr>
          <w:rFonts w:ascii="Calibri" w:hAnsi="Calibri" w:cs="Calibri"/>
          <w:sz w:val="24"/>
          <w:szCs w:val="24"/>
          <w:lang w:val="en-US"/>
        </w:rPr>
        <w:t xml:space="preserve"> CCR</w:t>
      </w:r>
      <w:r w:rsidRPr="00E246A8">
        <w:rPr>
          <w:rFonts w:ascii="Calibri" w:hAnsi="Calibri" w:cs="Calibri"/>
          <w:sz w:val="24"/>
          <w:szCs w:val="24"/>
          <w:lang w:val="en-US"/>
        </w:rPr>
        <w:t xml:space="preserve">. </w:t>
      </w:r>
      <w:r>
        <w:rPr>
          <w:rFonts w:ascii="Calibri" w:hAnsi="Calibri" w:cs="Calibri"/>
          <w:sz w:val="24"/>
          <w:szCs w:val="24"/>
          <w:lang w:val="en-US"/>
        </w:rPr>
        <w:t>No observations and comments has been received in the public consultation period.</w:t>
      </w:r>
    </w:p>
    <w:p w14:paraId="37AEFECF" w14:textId="77777777" w:rsidR="00491823" w:rsidRPr="0034587A" w:rsidRDefault="00491823" w:rsidP="008D1B0C">
      <w:pPr>
        <w:ind w:left="720"/>
        <w:jc w:val="both"/>
        <w:rPr>
          <w:rFonts w:ascii="Calibri" w:hAnsi="Calibri" w:cs="Calibri"/>
          <w:sz w:val="24"/>
          <w:szCs w:val="24"/>
          <w:lang w:val="en-US"/>
        </w:rPr>
      </w:pPr>
    </w:p>
    <w:p w14:paraId="4F72165A" w14:textId="0B29456F" w:rsidR="00491823" w:rsidRPr="003C74DB" w:rsidRDefault="00491823" w:rsidP="006B033B">
      <w:pPr>
        <w:spacing w:after="120"/>
        <w:jc w:val="center"/>
        <w:rPr>
          <w:rFonts w:ascii="Calibri" w:hAnsi="Calibri" w:cs="Calibri"/>
          <w:sz w:val="24"/>
          <w:szCs w:val="24"/>
          <w:lang w:val="en-US"/>
        </w:rPr>
      </w:pPr>
      <w:r w:rsidRPr="003C74DB">
        <w:rPr>
          <w:rFonts w:ascii="Calibri" w:hAnsi="Calibri" w:cs="Calibri"/>
          <w:sz w:val="24"/>
          <w:szCs w:val="24"/>
          <w:lang w:val="en-US"/>
        </w:rPr>
        <w:t>SUBMIT THE FOLLOWING PROPOSAL TO ALL REGULATORY AUTHORITIES OF THE SEE</w:t>
      </w:r>
      <w:r w:rsidR="00727D9F">
        <w:rPr>
          <w:rFonts w:ascii="Calibri" w:hAnsi="Calibri" w:cs="Calibri"/>
          <w:sz w:val="24"/>
          <w:szCs w:val="24"/>
          <w:lang w:val="en-US"/>
        </w:rPr>
        <w:t xml:space="preserve"> CCR</w:t>
      </w:r>
      <w:r w:rsidRPr="003C74DB">
        <w:rPr>
          <w:rFonts w:ascii="Calibri" w:hAnsi="Calibri" w:cs="Calibri"/>
          <w:sz w:val="24"/>
          <w:szCs w:val="24"/>
          <w:lang w:val="en-US"/>
        </w:rPr>
        <w:t>:</w:t>
      </w:r>
    </w:p>
    <w:p w14:paraId="66D05BA7" w14:textId="77777777" w:rsidR="00491823" w:rsidRPr="00497F48" w:rsidRDefault="00491823" w:rsidP="00EF35F4">
      <w:pPr>
        <w:jc w:val="both"/>
        <w:rPr>
          <w:rFonts w:ascii="Calibri" w:hAnsi="Calibri" w:cs="Calibri"/>
          <w:sz w:val="24"/>
          <w:szCs w:val="24"/>
          <w:lang w:val="en-US"/>
        </w:rPr>
      </w:pPr>
      <w:r w:rsidRPr="003C74DB">
        <w:rPr>
          <w:rFonts w:ascii="Calibri" w:hAnsi="Calibri" w:cs="Calibri"/>
          <w:sz w:val="24"/>
          <w:szCs w:val="24"/>
          <w:lang w:val="en-US"/>
        </w:rPr>
        <w:br w:type="page"/>
      </w:r>
    </w:p>
    <w:p w14:paraId="6258F127" w14:textId="77777777" w:rsidR="00491823" w:rsidRPr="00E246A8" w:rsidRDefault="00491823">
      <w:pPr>
        <w:spacing w:before="400" w:after="120" w:line="340" w:lineRule="exact"/>
        <w:jc w:val="center"/>
        <w:outlineLvl w:val="0"/>
        <w:rPr>
          <w:rFonts w:ascii="Calibri" w:hAnsi="Calibri" w:cs="Calibri"/>
          <w:b/>
          <w:bCs/>
          <w:color w:val="23236E"/>
          <w:sz w:val="24"/>
          <w:szCs w:val="24"/>
          <w:lang w:val="en-US"/>
        </w:rPr>
      </w:pPr>
      <w:r w:rsidRPr="00B07EF0">
        <w:rPr>
          <w:rFonts w:ascii="Calibri" w:hAnsi="Calibri" w:cs="Calibri"/>
          <w:b/>
          <w:bCs/>
          <w:color w:val="23236E"/>
          <w:sz w:val="24"/>
          <w:szCs w:val="24"/>
          <w:lang w:val="en-US"/>
        </w:rPr>
        <w:lastRenderedPageBreak/>
        <w:t xml:space="preserve">TITLE 1 </w:t>
      </w:r>
      <w:r w:rsidRPr="00B07EF0">
        <w:rPr>
          <w:rFonts w:ascii="Calibri" w:hAnsi="Calibri" w:cs="Calibri"/>
          <w:b/>
          <w:bCs/>
          <w:color w:val="23236E"/>
          <w:sz w:val="24"/>
          <w:szCs w:val="24"/>
          <w:lang w:val="en-US"/>
        </w:rPr>
        <w:br/>
      </w:r>
      <w:r w:rsidRPr="00E246A8">
        <w:rPr>
          <w:rFonts w:ascii="Calibri" w:hAnsi="Calibri" w:cs="Calibri"/>
          <w:b/>
          <w:bCs/>
          <w:color w:val="23236E"/>
          <w:sz w:val="24"/>
          <w:szCs w:val="24"/>
          <w:lang w:val="en-US"/>
        </w:rPr>
        <w:t>General provisions</w:t>
      </w:r>
    </w:p>
    <w:p w14:paraId="09285D0F" w14:textId="77777777" w:rsidR="00491823" w:rsidRPr="00E246A8" w:rsidRDefault="00491823">
      <w:pPr>
        <w:spacing w:after="120" w:line="260" w:lineRule="exact"/>
        <w:jc w:val="center"/>
        <w:outlineLvl w:val="1"/>
        <w:rPr>
          <w:rFonts w:ascii="Calibri" w:hAnsi="Calibri" w:cs="Calibri"/>
          <w:b/>
          <w:bCs/>
          <w:color w:val="23236E"/>
          <w:sz w:val="24"/>
          <w:szCs w:val="24"/>
          <w:lang w:val="en-US"/>
        </w:rPr>
      </w:pPr>
      <w:bookmarkStart w:id="0" w:name="_Toc432586769"/>
      <w:bookmarkStart w:id="1" w:name="_Toc432586789"/>
      <w:bookmarkStart w:id="2" w:name="_Toc434227405"/>
      <w:bookmarkStart w:id="3" w:name="_Toc434343196"/>
      <w:r w:rsidRPr="00E246A8">
        <w:rPr>
          <w:rFonts w:ascii="Calibri" w:hAnsi="Calibri" w:cs="Calibri"/>
          <w:b/>
          <w:bCs/>
          <w:color w:val="23236E"/>
          <w:sz w:val="24"/>
          <w:szCs w:val="24"/>
          <w:lang w:val="en-US"/>
        </w:rPr>
        <w:t>Article 1</w:t>
      </w:r>
      <w:r w:rsidRPr="00E246A8">
        <w:rPr>
          <w:rFonts w:ascii="Calibri" w:hAnsi="Calibri" w:cs="Calibri"/>
          <w:b/>
          <w:bCs/>
          <w:color w:val="23236E"/>
          <w:sz w:val="24"/>
          <w:szCs w:val="24"/>
          <w:lang w:val="en-US"/>
        </w:rPr>
        <w:br/>
      </w:r>
      <w:bookmarkEnd w:id="0"/>
      <w:bookmarkEnd w:id="1"/>
      <w:bookmarkEnd w:id="2"/>
      <w:bookmarkEnd w:id="3"/>
      <w:r w:rsidRPr="00E246A8">
        <w:rPr>
          <w:rFonts w:ascii="Calibri" w:hAnsi="Calibri" w:cs="Calibri"/>
          <w:b/>
          <w:bCs/>
          <w:color w:val="23236E"/>
          <w:sz w:val="24"/>
          <w:szCs w:val="24"/>
          <w:lang w:val="en-US"/>
        </w:rPr>
        <w:t>Subject matter and scope</w:t>
      </w:r>
    </w:p>
    <w:p w14:paraId="6C86AD89" w14:textId="77777777" w:rsidR="00491823" w:rsidRPr="004271F5" w:rsidRDefault="00491823" w:rsidP="00EF35F4">
      <w:pPr>
        <w:spacing w:line="260" w:lineRule="exact"/>
        <w:jc w:val="both"/>
        <w:outlineLvl w:val="1"/>
        <w:rPr>
          <w:rFonts w:ascii="Calibri" w:hAnsi="Calibri" w:cs="Calibri"/>
          <w:b/>
          <w:bCs/>
          <w:color w:val="23236E"/>
          <w:sz w:val="24"/>
          <w:szCs w:val="24"/>
          <w:lang w:val="en-US"/>
        </w:rPr>
      </w:pPr>
    </w:p>
    <w:p w14:paraId="05BC5D9B" w14:textId="4959733D" w:rsidR="00491823" w:rsidRPr="0034587A" w:rsidRDefault="00491823" w:rsidP="00F6001D">
      <w:pPr>
        <w:pStyle w:val="ListParagraph"/>
        <w:numPr>
          <w:ilvl w:val="0"/>
          <w:numId w:val="6"/>
        </w:numPr>
        <w:ind w:left="567" w:hanging="567"/>
        <w:rPr>
          <w:sz w:val="24"/>
          <w:szCs w:val="24"/>
        </w:rPr>
      </w:pPr>
      <w:r w:rsidRPr="004271F5">
        <w:rPr>
          <w:sz w:val="24"/>
          <w:szCs w:val="24"/>
        </w:rPr>
        <w:t xml:space="preserve">In </w:t>
      </w:r>
      <w:r w:rsidRPr="00E246A8">
        <w:rPr>
          <w:sz w:val="24"/>
          <w:szCs w:val="24"/>
        </w:rPr>
        <w:t xml:space="preserve">accordance with </w:t>
      </w:r>
      <w:r w:rsidRPr="007C0154">
        <w:rPr>
          <w:sz w:val="24"/>
          <w:szCs w:val="24"/>
        </w:rPr>
        <w:t xml:space="preserve">Article 52(3) of the FCA Regulation and </w:t>
      </w:r>
      <w:r w:rsidRPr="00E246A8">
        <w:rPr>
          <w:sz w:val="24"/>
          <w:szCs w:val="24"/>
        </w:rPr>
        <w:t xml:space="preserve">Article 4 of the </w:t>
      </w:r>
      <w:r w:rsidRPr="007C0154">
        <w:rPr>
          <w:sz w:val="24"/>
          <w:szCs w:val="24"/>
        </w:rPr>
        <w:t xml:space="preserve">Annex I to the </w:t>
      </w:r>
      <w:r w:rsidRPr="00E246A8">
        <w:rPr>
          <w:sz w:val="24"/>
          <w:szCs w:val="24"/>
        </w:rPr>
        <w:t xml:space="preserve">HAR, regional or border specificities may be introduced for one or more Bidding Zone borders. </w:t>
      </w:r>
      <w:r w:rsidRPr="007C0154">
        <w:rPr>
          <w:sz w:val="24"/>
          <w:szCs w:val="24"/>
        </w:rPr>
        <w:t xml:space="preserve">Allocation </w:t>
      </w:r>
      <w:r w:rsidRPr="00E246A8">
        <w:rPr>
          <w:sz w:val="24"/>
          <w:szCs w:val="24"/>
          <w:lang w:val="en-US"/>
        </w:rPr>
        <w:t xml:space="preserve">Rules described in this regional specific </w:t>
      </w:r>
      <w:r w:rsidRPr="007C0154">
        <w:rPr>
          <w:sz w:val="24"/>
          <w:szCs w:val="24"/>
          <w:lang w:val="en-US"/>
        </w:rPr>
        <w:t>Annex</w:t>
      </w:r>
      <w:r w:rsidRPr="00E246A8">
        <w:rPr>
          <w:sz w:val="24"/>
          <w:szCs w:val="24"/>
          <w:lang w:val="en-US"/>
        </w:rPr>
        <w:t xml:space="preserve"> apply to the borders of the SEE</w:t>
      </w:r>
      <w:r w:rsidR="00961B52">
        <w:rPr>
          <w:sz w:val="24"/>
          <w:szCs w:val="24"/>
          <w:lang w:val="en-US"/>
        </w:rPr>
        <w:t xml:space="preserve"> CCR</w:t>
      </w:r>
      <w:r w:rsidRPr="00E246A8">
        <w:rPr>
          <w:sz w:val="24"/>
          <w:szCs w:val="24"/>
          <w:lang w:val="en-US"/>
        </w:rPr>
        <w:t>.</w:t>
      </w:r>
      <w:r w:rsidRPr="007C0154">
        <w:rPr>
          <w:sz w:val="24"/>
          <w:szCs w:val="24"/>
        </w:rPr>
        <w:t xml:space="preserve"> This Annex is applied by the following TSOs: </w:t>
      </w:r>
      <w:proofErr w:type="spellStart"/>
      <w:r w:rsidRPr="007C0154">
        <w:rPr>
          <w:sz w:val="24"/>
          <w:szCs w:val="24"/>
        </w:rPr>
        <w:t>Transelectrica</w:t>
      </w:r>
      <w:proofErr w:type="spellEnd"/>
      <w:r w:rsidRPr="007C0154">
        <w:rPr>
          <w:sz w:val="24"/>
          <w:szCs w:val="24"/>
        </w:rPr>
        <w:t>, ESO EAD and ADMIE/IPTO.</w:t>
      </w:r>
    </w:p>
    <w:p w14:paraId="265FA81A" w14:textId="07A6C2AE" w:rsidR="00491823" w:rsidRPr="004271F5" w:rsidRDefault="00491823" w:rsidP="00F6001D">
      <w:pPr>
        <w:pStyle w:val="ListParagraph"/>
        <w:numPr>
          <w:ilvl w:val="0"/>
          <w:numId w:val="6"/>
        </w:numPr>
        <w:ind w:left="567" w:hanging="567"/>
        <w:rPr>
          <w:sz w:val="24"/>
          <w:szCs w:val="24"/>
        </w:rPr>
      </w:pPr>
      <w:r w:rsidRPr="007C0154">
        <w:rPr>
          <w:sz w:val="24"/>
          <w:szCs w:val="24"/>
        </w:rPr>
        <w:t xml:space="preserve">This Annex shall apply to capacity allocation for long term transmission rights, for the delivery period starting from the date provided in paragraph 2 of article </w:t>
      </w:r>
      <w:r>
        <w:rPr>
          <w:sz w:val="24"/>
          <w:szCs w:val="24"/>
        </w:rPr>
        <w:t>10</w:t>
      </w:r>
      <w:r w:rsidRPr="007C0154">
        <w:rPr>
          <w:sz w:val="24"/>
          <w:szCs w:val="24"/>
        </w:rPr>
        <w:t xml:space="preserve"> of the present Annex and onwards</w:t>
      </w:r>
      <w:r w:rsidRPr="004271F5">
        <w:rPr>
          <w:sz w:val="24"/>
          <w:szCs w:val="24"/>
        </w:rPr>
        <w:t>.</w:t>
      </w:r>
    </w:p>
    <w:p w14:paraId="3EC0A80A" w14:textId="238746AF" w:rsidR="00491823" w:rsidRPr="007C0154" w:rsidRDefault="00491823" w:rsidP="00F6001D">
      <w:pPr>
        <w:pStyle w:val="ListParagraph"/>
        <w:numPr>
          <w:ilvl w:val="0"/>
          <w:numId w:val="6"/>
        </w:numPr>
        <w:ind w:left="567" w:hanging="567"/>
        <w:rPr>
          <w:sz w:val="24"/>
          <w:szCs w:val="24"/>
        </w:rPr>
      </w:pPr>
      <w:r w:rsidRPr="007C0154">
        <w:rPr>
          <w:sz w:val="24"/>
          <w:szCs w:val="24"/>
        </w:rPr>
        <w:t xml:space="preserve">Unless expressly stated otherwise, this Annex shall govern all rights and obligations in connection with Long Term Transmission Rights acquired before the entry into force of this Annex, but with the delivery period referred to in paragraph 2 of article </w:t>
      </w:r>
      <w:r>
        <w:rPr>
          <w:sz w:val="24"/>
          <w:szCs w:val="24"/>
        </w:rPr>
        <w:t>10</w:t>
      </w:r>
      <w:r w:rsidRPr="007C0154">
        <w:rPr>
          <w:sz w:val="24"/>
          <w:szCs w:val="24"/>
        </w:rPr>
        <w:t>.</w:t>
      </w:r>
    </w:p>
    <w:p w14:paraId="7FFB631E" w14:textId="77777777" w:rsidR="00491823" w:rsidRDefault="00491823" w:rsidP="00EF35F4">
      <w:pPr>
        <w:pStyle w:val="ListParagraph"/>
        <w:spacing w:after="0"/>
        <w:ind w:left="567"/>
        <w:jc w:val="center"/>
        <w:rPr>
          <w:b/>
          <w:bCs/>
          <w:color w:val="002060"/>
          <w:sz w:val="24"/>
          <w:szCs w:val="24"/>
        </w:rPr>
      </w:pPr>
    </w:p>
    <w:p w14:paraId="6A166DC8" w14:textId="77777777" w:rsidR="00491823" w:rsidRPr="00E246A8" w:rsidRDefault="00491823" w:rsidP="00EF35F4">
      <w:pPr>
        <w:pStyle w:val="ListParagraph"/>
        <w:spacing w:after="0"/>
        <w:ind w:left="567"/>
        <w:jc w:val="center"/>
        <w:rPr>
          <w:b/>
          <w:bCs/>
          <w:color w:val="002060"/>
          <w:sz w:val="24"/>
          <w:szCs w:val="24"/>
        </w:rPr>
      </w:pPr>
      <w:r w:rsidRPr="00E246A8">
        <w:rPr>
          <w:b/>
          <w:bCs/>
          <w:color w:val="002060"/>
          <w:sz w:val="24"/>
          <w:szCs w:val="24"/>
        </w:rPr>
        <w:t>Article 2</w:t>
      </w:r>
    </w:p>
    <w:p w14:paraId="797E8378" w14:textId="77777777" w:rsidR="00491823" w:rsidRPr="0034587A" w:rsidRDefault="00491823">
      <w:pPr>
        <w:pStyle w:val="ListParagraph"/>
        <w:ind w:left="720"/>
        <w:jc w:val="center"/>
        <w:rPr>
          <w:b/>
          <w:bCs/>
          <w:color w:val="23236E"/>
          <w:sz w:val="24"/>
          <w:szCs w:val="24"/>
          <w:lang w:val="en-US"/>
        </w:rPr>
      </w:pPr>
      <w:r w:rsidRPr="0034587A">
        <w:rPr>
          <w:b/>
          <w:bCs/>
          <w:color w:val="23236E"/>
          <w:sz w:val="24"/>
          <w:szCs w:val="24"/>
          <w:lang w:val="en-US"/>
        </w:rPr>
        <w:t>Definitions and interpretation</w:t>
      </w:r>
    </w:p>
    <w:p w14:paraId="05868F6E" w14:textId="77777777" w:rsidR="00491823" w:rsidRPr="0034587A" w:rsidRDefault="00491823" w:rsidP="00F6001D">
      <w:pPr>
        <w:pStyle w:val="ListParagraph"/>
        <w:numPr>
          <w:ilvl w:val="0"/>
          <w:numId w:val="8"/>
        </w:numPr>
        <w:ind w:left="567" w:hanging="567"/>
        <w:rPr>
          <w:sz w:val="24"/>
          <w:szCs w:val="24"/>
          <w:lang w:val="en-US"/>
        </w:rPr>
      </w:pPr>
      <w:r w:rsidRPr="0034587A">
        <w:rPr>
          <w:sz w:val="24"/>
          <w:szCs w:val="24"/>
          <w:lang w:val="en-US"/>
        </w:rPr>
        <w:t xml:space="preserve">For the purpose </w:t>
      </w:r>
      <w:r w:rsidRPr="004271F5">
        <w:rPr>
          <w:sz w:val="24"/>
          <w:szCs w:val="24"/>
          <w:lang w:val="en-US"/>
        </w:rPr>
        <w:t xml:space="preserve">of this </w:t>
      </w:r>
      <w:r w:rsidRPr="007C0154">
        <w:rPr>
          <w:sz w:val="24"/>
          <w:szCs w:val="24"/>
          <w:lang w:val="en-US"/>
        </w:rPr>
        <w:t xml:space="preserve">regional specific Annex </w:t>
      </w:r>
      <w:r w:rsidRPr="004271F5">
        <w:rPr>
          <w:sz w:val="24"/>
          <w:szCs w:val="24"/>
          <w:lang w:val="en-US"/>
        </w:rPr>
        <w:t>to the</w:t>
      </w:r>
      <w:r w:rsidRPr="0034587A">
        <w:rPr>
          <w:sz w:val="24"/>
          <w:szCs w:val="24"/>
          <w:lang w:val="en-US"/>
        </w:rPr>
        <w:t xml:space="preserve"> HAR</w:t>
      </w:r>
      <w:r>
        <w:rPr>
          <w:sz w:val="24"/>
          <w:szCs w:val="24"/>
          <w:lang w:val="en-US"/>
        </w:rPr>
        <w:t>,</w:t>
      </w:r>
      <w:r w:rsidRPr="0034587A">
        <w:rPr>
          <w:sz w:val="24"/>
          <w:szCs w:val="24"/>
          <w:lang w:val="en-US"/>
        </w:rPr>
        <w:t xml:space="preserve"> the terms used shall have the meaning of the definitions included in Article 2 of the HAR and Article 2 of the FCA Regulation and Regulation (EC) No 714/2009 and Regulation (EC) No 543/2013.</w:t>
      </w:r>
    </w:p>
    <w:p w14:paraId="163913C1" w14:textId="77777777" w:rsidR="00491823" w:rsidRPr="0034587A" w:rsidRDefault="00491823" w:rsidP="00F6001D">
      <w:pPr>
        <w:pStyle w:val="ListParagraph"/>
        <w:numPr>
          <w:ilvl w:val="0"/>
          <w:numId w:val="8"/>
        </w:numPr>
        <w:ind w:left="567" w:hanging="567"/>
        <w:rPr>
          <w:sz w:val="24"/>
          <w:szCs w:val="24"/>
        </w:rPr>
      </w:pPr>
      <w:r w:rsidRPr="0034587A">
        <w:rPr>
          <w:sz w:val="24"/>
          <w:szCs w:val="24"/>
        </w:rPr>
        <w:t>In this proposal</w:t>
      </w:r>
      <w:r>
        <w:rPr>
          <w:sz w:val="24"/>
          <w:szCs w:val="24"/>
        </w:rPr>
        <w:t>,</w:t>
      </w:r>
      <w:r w:rsidRPr="0034587A">
        <w:rPr>
          <w:sz w:val="24"/>
          <w:szCs w:val="24"/>
        </w:rPr>
        <w:t xml:space="preserve"> unless the context requires otherwise: </w:t>
      </w:r>
    </w:p>
    <w:p w14:paraId="26B78DB6" w14:textId="77777777" w:rsidR="00491823" w:rsidRPr="0034587A" w:rsidRDefault="00491823" w:rsidP="00F6001D">
      <w:pPr>
        <w:pStyle w:val="ListParagraph"/>
        <w:numPr>
          <w:ilvl w:val="1"/>
          <w:numId w:val="8"/>
        </w:numPr>
        <w:spacing w:after="120"/>
        <w:ind w:left="992" w:hanging="425"/>
        <w:rPr>
          <w:sz w:val="24"/>
          <w:szCs w:val="24"/>
        </w:rPr>
      </w:pPr>
      <w:r w:rsidRPr="0034587A">
        <w:rPr>
          <w:sz w:val="24"/>
          <w:szCs w:val="24"/>
        </w:rPr>
        <w:t xml:space="preserve">the singular indicates the plural and vice versa; </w:t>
      </w:r>
    </w:p>
    <w:p w14:paraId="6AC4343D" w14:textId="77777777" w:rsidR="00491823" w:rsidRPr="0034587A" w:rsidRDefault="00491823" w:rsidP="00F6001D">
      <w:pPr>
        <w:pStyle w:val="ListParagraph"/>
        <w:numPr>
          <w:ilvl w:val="1"/>
          <w:numId w:val="8"/>
        </w:numPr>
        <w:spacing w:after="120"/>
        <w:ind w:left="992" w:hanging="425"/>
        <w:rPr>
          <w:sz w:val="24"/>
          <w:szCs w:val="24"/>
        </w:rPr>
      </w:pPr>
      <w:r w:rsidRPr="0034587A">
        <w:rPr>
          <w:sz w:val="24"/>
          <w:szCs w:val="24"/>
        </w:rPr>
        <w:t>the headings are inserted for convenience only and do not affect the interpretation of the proposal; and</w:t>
      </w:r>
    </w:p>
    <w:p w14:paraId="0415000D" w14:textId="77777777" w:rsidR="00491823" w:rsidRPr="003C74DB" w:rsidRDefault="00491823" w:rsidP="00F6001D">
      <w:pPr>
        <w:pStyle w:val="ListParagraph"/>
        <w:numPr>
          <w:ilvl w:val="1"/>
          <w:numId w:val="8"/>
        </w:numPr>
        <w:spacing w:after="120"/>
        <w:ind w:left="992" w:hanging="425"/>
        <w:rPr>
          <w:sz w:val="24"/>
          <w:szCs w:val="24"/>
          <w:lang w:val="en-US"/>
        </w:rPr>
      </w:pPr>
      <w:r w:rsidRPr="0034587A">
        <w:rPr>
          <w:sz w:val="24"/>
          <w:szCs w:val="24"/>
        </w:rPr>
        <w:t xml:space="preserve">any reference to legislation, regulations, directives, orders, instruments, codes or any other enactment shall include any modification, extension or re-enactment of it when in force. </w:t>
      </w:r>
    </w:p>
    <w:p w14:paraId="34AF97D0" w14:textId="77777777" w:rsidR="00491823" w:rsidRPr="0034587A" w:rsidRDefault="00491823">
      <w:pPr>
        <w:pStyle w:val="ListParagraph"/>
        <w:ind w:left="720"/>
        <w:jc w:val="center"/>
        <w:rPr>
          <w:b/>
          <w:bCs/>
          <w:color w:val="23236E"/>
          <w:sz w:val="24"/>
          <w:szCs w:val="24"/>
          <w:lang w:val="en-US"/>
        </w:rPr>
      </w:pPr>
      <w:r w:rsidRPr="0034587A">
        <w:rPr>
          <w:b/>
          <w:bCs/>
          <w:color w:val="23236E"/>
          <w:sz w:val="24"/>
          <w:szCs w:val="24"/>
          <w:lang w:val="en-US"/>
        </w:rPr>
        <w:t>Article 3</w:t>
      </w:r>
      <w:r w:rsidRPr="0034587A">
        <w:rPr>
          <w:b/>
          <w:bCs/>
          <w:color w:val="23236E"/>
          <w:sz w:val="24"/>
          <w:szCs w:val="24"/>
          <w:lang w:val="en-US"/>
        </w:rPr>
        <w:br/>
        <w:t>Language</w:t>
      </w:r>
    </w:p>
    <w:p w14:paraId="4F5FDD07" w14:textId="17AF6744" w:rsidR="00491823" w:rsidRPr="0034587A" w:rsidRDefault="00491823" w:rsidP="00EF35F4">
      <w:pPr>
        <w:jc w:val="both"/>
        <w:rPr>
          <w:rFonts w:ascii="Calibri" w:hAnsi="Calibri" w:cs="Calibri"/>
          <w:sz w:val="24"/>
          <w:szCs w:val="24"/>
        </w:rPr>
      </w:pPr>
      <w:r w:rsidRPr="0034587A">
        <w:rPr>
          <w:rFonts w:ascii="Calibri" w:hAnsi="Calibri" w:cs="Calibri"/>
          <w:sz w:val="24"/>
          <w:szCs w:val="24"/>
        </w:rPr>
        <w:t xml:space="preserve">The reference language for this proposal for regional specific </w:t>
      </w:r>
      <w:r>
        <w:rPr>
          <w:rFonts w:ascii="Calibri" w:hAnsi="Calibri" w:cs="Calibri"/>
          <w:sz w:val="24"/>
          <w:szCs w:val="24"/>
        </w:rPr>
        <w:t>A</w:t>
      </w:r>
      <w:r w:rsidRPr="0034587A">
        <w:rPr>
          <w:rFonts w:ascii="Calibri" w:hAnsi="Calibri" w:cs="Calibri"/>
          <w:sz w:val="24"/>
          <w:szCs w:val="24"/>
        </w:rPr>
        <w:t xml:space="preserve">nnex to the HAR shall be English. For the avoidance of doubt, where TSOs needs to translate this proposal into national language(s), in the event of inconsistencies between the English version published by TSOs in </w:t>
      </w:r>
      <w:r w:rsidR="00727D9F">
        <w:rPr>
          <w:rFonts w:ascii="Calibri" w:hAnsi="Calibri" w:cs="Calibri"/>
          <w:sz w:val="24"/>
          <w:szCs w:val="24"/>
        </w:rPr>
        <w:t xml:space="preserve">SEE CCR </w:t>
      </w:r>
      <w:r w:rsidRPr="0034587A">
        <w:rPr>
          <w:rFonts w:ascii="Calibri" w:hAnsi="Calibri" w:cs="Calibri"/>
          <w:sz w:val="24"/>
          <w:szCs w:val="24"/>
        </w:rPr>
        <w:t xml:space="preserve">in accordance with Article 4(13) of the FCA Regulation and any version in another language the relevant TSOs shall, in accordance with national legislation, provide the relevant </w:t>
      </w:r>
      <w:r w:rsidRPr="0034587A">
        <w:rPr>
          <w:rFonts w:ascii="Calibri" w:hAnsi="Calibri" w:cs="Calibri"/>
          <w:sz w:val="24"/>
          <w:szCs w:val="24"/>
        </w:rPr>
        <w:lastRenderedPageBreak/>
        <w:t xml:space="preserve">national regulatory authority with an updated translation of the proposal for regional specific </w:t>
      </w:r>
      <w:r>
        <w:rPr>
          <w:rFonts w:ascii="Calibri" w:hAnsi="Calibri" w:cs="Calibri"/>
          <w:sz w:val="24"/>
          <w:szCs w:val="24"/>
        </w:rPr>
        <w:t>A</w:t>
      </w:r>
      <w:r w:rsidRPr="0034587A">
        <w:rPr>
          <w:rFonts w:ascii="Calibri" w:hAnsi="Calibri" w:cs="Calibri"/>
          <w:sz w:val="24"/>
          <w:szCs w:val="24"/>
        </w:rPr>
        <w:t>nnex to the HAR.</w:t>
      </w:r>
    </w:p>
    <w:p w14:paraId="2BAF46E9" w14:textId="77777777" w:rsidR="00491823" w:rsidRPr="003C74DB" w:rsidRDefault="00491823">
      <w:pPr>
        <w:spacing w:before="400" w:after="120" w:line="340" w:lineRule="exact"/>
        <w:jc w:val="center"/>
        <w:outlineLvl w:val="0"/>
        <w:rPr>
          <w:rFonts w:ascii="Calibri" w:hAnsi="Calibri" w:cs="Calibri"/>
          <w:b/>
          <w:bCs/>
          <w:color w:val="23236E"/>
          <w:sz w:val="24"/>
          <w:szCs w:val="24"/>
          <w:lang w:val="en-US"/>
        </w:rPr>
      </w:pPr>
      <w:r w:rsidRPr="003C74DB">
        <w:rPr>
          <w:rFonts w:ascii="Calibri" w:hAnsi="Calibri" w:cs="Calibri"/>
          <w:b/>
          <w:bCs/>
          <w:color w:val="23236E"/>
          <w:sz w:val="24"/>
          <w:szCs w:val="24"/>
          <w:lang w:val="en-US"/>
        </w:rPr>
        <w:t xml:space="preserve">TITLE 2 </w:t>
      </w:r>
      <w:r w:rsidRPr="003C74DB">
        <w:rPr>
          <w:rFonts w:ascii="Calibri" w:hAnsi="Calibri" w:cs="Calibri"/>
          <w:b/>
          <w:bCs/>
          <w:color w:val="23236E"/>
          <w:sz w:val="24"/>
          <w:szCs w:val="24"/>
          <w:lang w:val="en-US"/>
        </w:rPr>
        <w:br/>
        <w:t>Cap on compensation</w:t>
      </w:r>
    </w:p>
    <w:p w14:paraId="7E402BA9" w14:textId="77777777" w:rsidR="00491823" w:rsidRPr="000C0BCE" w:rsidRDefault="00491823">
      <w:pPr>
        <w:spacing w:after="120" w:line="260" w:lineRule="exact"/>
        <w:jc w:val="center"/>
        <w:outlineLvl w:val="1"/>
        <w:rPr>
          <w:rFonts w:ascii="Calibri" w:hAnsi="Calibri" w:cs="Calibri"/>
          <w:b/>
          <w:bCs/>
          <w:color w:val="23236E"/>
          <w:sz w:val="24"/>
          <w:szCs w:val="24"/>
          <w:lang w:val="en-US"/>
        </w:rPr>
      </w:pPr>
      <w:r w:rsidRPr="000C0BCE">
        <w:rPr>
          <w:rFonts w:ascii="Calibri" w:hAnsi="Calibri" w:cs="Calibri"/>
          <w:b/>
          <w:bCs/>
          <w:color w:val="23236E"/>
          <w:sz w:val="24"/>
          <w:szCs w:val="24"/>
          <w:lang w:val="en-US"/>
        </w:rPr>
        <w:t>Article 4</w:t>
      </w:r>
      <w:r w:rsidRPr="000C0BCE">
        <w:rPr>
          <w:rFonts w:ascii="Calibri" w:hAnsi="Calibri" w:cs="Calibri"/>
          <w:b/>
          <w:bCs/>
          <w:color w:val="23236E"/>
          <w:sz w:val="24"/>
          <w:szCs w:val="24"/>
          <w:lang w:val="en-US"/>
        </w:rPr>
        <w:br/>
        <w:t>Bidding zones borders where cap is applicable</w:t>
      </w:r>
    </w:p>
    <w:p w14:paraId="7ED7FC7C" w14:textId="77777777" w:rsidR="00491823" w:rsidRPr="00E246A8" w:rsidRDefault="00491823">
      <w:pPr>
        <w:spacing w:after="120" w:line="259" w:lineRule="auto"/>
        <w:jc w:val="both"/>
        <w:rPr>
          <w:rFonts w:ascii="Calibri" w:hAnsi="Calibri" w:cs="Calibri"/>
          <w:sz w:val="24"/>
          <w:szCs w:val="24"/>
          <w:lang w:val="en-US"/>
        </w:rPr>
      </w:pPr>
      <w:r w:rsidRPr="00B07EF0">
        <w:rPr>
          <w:rFonts w:ascii="Calibri" w:hAnsi="Calibri" w:cs="Calibri"/>
          <w:sz w:val="24"/>
          <w:szCs w:val="24"/>
          <w:lang w:val="en-US"/>
        </w:rPr>
        <w:t>For the purposes of this proposal and the HAR, a cap on compensation shall only apply to the bidding zone</w:t>
      </w:r>
      <w:r w:rsidRPr="00E246A8">
        <w:rPr>
          <w:rFonts w:ascii="Calibri" w:hAnsi="Calibri" w:cs="Calibri"/>
          <w:sz w:val="24"/>
          <w:szCs w:val="24"/>
          <w:lang w:val="en-US"/>
        </w:rPr>
        <w:t>s borders listed in the present Title.</w:t>
      </w:r>
    </w:p>
    <w:p w14:paraId="2210C418" w14:textId="77777777" w:rsidR="008D1B0C" w:rsidRDefault="008D1B0C">
      <w:pPr>
        <w:spacing w:after="120" w:line="260" w:lineRule="exact"/>
        <w:jc w:val="center"/>
        <w:outlineLvl w:val="1"/>
        <w:rPr>
          <w:rFonts w:ascii="Calibri" w:hAnsi="Calibri" w:cs="Calibri"/>
          <w:sz w:val="24"/>
          <w:szCs w:val="24"/>
          <w:lang w:val="en-US"/>
        </w:rPr>
      </w:pPr>
    </w:p>
    <w:p w14:paraId="34F57584" w14:textId="77777777" w:rsidR="00491823" w:rsidRPr="00F6001D" w:rsidRDefault="00491823">
      <w:pPr>
        <w:spacing w:after="120" w:line="260" w:lineRule="exact"/>
        <w:jc w:val="center"/>
        <w:outlineLvl w:val="1"/>
        <w:rPr>
          <w:rFonts w:ascii="Calibri" w:hAnsi="Calibri" w:cs="Calibri"/>
          <w:b/>
          <w:bCs/>
          <w:color w:val="23236E"/>
          <w:sz w:val="24"/>
          <w:szCs w:val="24"/>
          <w:lang w:val="fr-FR"/>
        </w:rPr>
      </w:pPr>
      <w:r w:rsidRPr="00F6001D">
        <w:rPr>
          <w:rFonts w:ascii="Calibri" w:hAnsi="Calibri" w:cs="Calibri"/>
          <w:b/>
          <w:bCs/>
          <w:color w:val="23236E"/>
          <w:sz w:val="24"/>
          <w:szCs w:val="24"/>
          <w:lang w:val="fr-FR"/>
        </w:rPr>
        <w:t>Article 5</w:t>
      </w:r>
      <w:r w:rsidRPr="00C6283D">
        <w:rPr>
          <w:rFonts w:ascii="Calibri" w:hAnsi="Calibri" w:cs="Calibri"/>
          <w:b/>
          <w:bCs/>
          <w:color w:val="23236E"/>
          <w:sz w:val="24"/>
          <w:szCs w:val="24"/>
          <w:lang w:val="fr-FR"/>
        </w:rPr>
        <w:br/>
      </w:r>
      <w:r w:rsidRPr="00F6001D">
        <w:rPr>
          <w:rFonts w:ascii="Calibri" w:hAnsi="Calibri" w:cs="Calibri"/>
          <w:b/>
          <w:bCs/>
          <w:color w:val="23236E"/>
          <w:sz w:val="24"/>
          <w:szCs w:val="24"/>
          <w:lang w:val="fr-FR"/>
        </w:rPr>
        <w:t>Romania-</w:t>
      </w:r>
      <w:proofErr w:type="spellStart"/>
      <w:r w:rsidRPr="00F6001D">
        <w:rPr>
          <w:rFonts w:ascii="Calibri" w:hAnsi="Calibri" w:cs="Calibri"/>
          <w:b/>
          <w:bCs/>
          <w:color w:val="23236E"/>
          <w:sz w:val="24"/>
          <w:szCs w:val="24"/>
          <w:lang w:val="fr-FR"/>
        </w:rPr>
        <w:t>Bulgaria</w:t>
      </w:r>
      <w:proofErr w:type="spellEnd"/>
      <w:r w:rsidRPr="00F6001D">
        <w:rPr>
          <w:rFonts w:ascii="Calibri" w:hAnsi="Calibri" w:cs="Calibri"/>
          <w:b/>
          <w:bCs/>
          <w:color w:val="23236E"/>
          <w:sz w:val="24"/>
          <w:szCs w:val="24"/>
          <w:lang w:val="fr-FR"/>
        </w:rPr>
        <w:t xml:space="preserve"> border (RO-BG)</w:t>
      </w:r>
    </w:p>
    <w:p w14:paraId="47AA251D" w14:textId="77777777" w:rsidR="00491823" w:rsidRPr="009042A7" w:rsidRDefault="00491823">
      <w:pPr>
        <w:spacing w:after="120" w:line="259" w:lineRule="auto"/>
        <w:jc w:val="both"/>
        <w:rPr>
          <w:rFonts w:ascii="Calibri" w:hAnsi="Calibri" w:cs="Calibri"/>
          <w:sz w:val="24"/>
          <w:szCs w:val="24"/>
          <w:lang w:val="en-US"/>
        </w:rPr>
      </w:pPr>
      <w:r w:rsidRPr="004271F5">
        <w:rPr>
          <w:rFonts w:ascii="Calibri" w:hAnsi="Calibri" w:cs="Calibri"/>
          <w:sz w:val="24"/>
          <w:szCs w:val="24"/>
          <w:lang w:val="en-US"/>
        </w:rPr>
        <w:t>A cap on compensation shall be applicable to the Romania-Bulgaria border in accordance with Article 5</w:t>
      </w:r>
      <w:r w:rsidRPr="00DC6A85">
        <w:rPr>
          <w:rFonts w:ascii="Calibri" w:hAnsi="Calibri" w:cs="Calibri"/>
          <w:sz w:val="24"/>
          <w:szCs w:val="24"/>
          <w:lang w:val="en-US"/>
        </w:rPr>
        <w:t>9(2) of the HAR</w:t>
      </w:r>
      <w:r w:rsidRPr="009042A7">
        <w:rPr>
          <w:rFonts w:ascii="Calibri" w:hAnsi="Calibri" w:cs="Calibri"/>
          <w:sz w:val="24"/>
          <w:szCs w:val="24"/>
          <w:lang w:val="en-US"/>
        </w:rPr>
        <w:t>.</w:t>
      </w:r>
    </w:p>
    <w:p w14:paraId="655EB368" w14:textId="77777777" w:rsidR="00491823" w:rsidRPr="005D519E" w:rsidRDefault="00491823">
      <w:pPr>
        <w:spacing w:after="120" w:line="260" w:lineRule="exact"/>
        <w:jc w:val="center"/>
        <w:outlineLvl w:val="1"/>
        <w:rPr>
          <w:rFonts w:ascii="Calibri" w:hAnsi="Calibri" w:cs="Calibri"/>
          <w:b/>
          <w:bCs/>
          <w:color w:val="23236E"/>
          <w:sz w:val="24"/>
          <w:szCs w:val="24"/>
          <w:lang w:val="en-US"/>
        </w:rPr>
      </w:pPr>
      <w:r w:rsidRPr="005D519E">
        <w:rPr>
          <w:rFonts w:ascii="Calibri" w:hAnsi="Calibri" w:cs="Calibri"/>
          <w:b/>
          <w:bCs/>
          <w:color w:val="23236E"/>
          <w:sz w:val="24"/>
          <w:szCs w:val="24"/>
          <w:lang w:val="en-US"/>
        </w:rPr>
        <w:t>Article 6</w:t>
      </w:r>
      <w:r w:rsidRPr="005D519E">
        <w:rPr>
          <w:rFonts w:ascii="Calibri" w:hAnsi="Calibri" w:cs="Calibri"/>
          <w:b/>
          <w:bCs/>
          <w:color w:val="23236E"/>
          <w:sz w:val="24"/>
          <w:szCs w:val="24"/>
          <w:lang w:val="en-US"/>
        </w:rPr>
        <w:br/>
        <w:t>Bulgaria-Greece border (BG-GR)</w:t>
      </w:r>
    </w:p>
    <w:p w14:paraId="3F3D37DA" w14:textId="7214C685" w:rsidR="00491823" w:rsidRPr="00803FEC" w:rsidRDefault="00491823">
      <w:pPr>
        <w:spacing w:after="120" w:line="259" w:lineRule="auto"/>
        <w:jc w:val="both"/>
        <w:rPr>
          <w:rFonts w:ascii="Calibri" w:hAnsi="Calibri" w:cs="Calibri"/>
          <w:sz w:val="24"/>
          <w:szCs w:val="24"/>
          <w:lang w:val="en-US"/>
        </w:rPr>
      </w:pPr>
      <w:r w:rsidRPr="00654600">
        <w:rPr>
          <w:rFonts w:ascii="Calibri" w:hAnsi="Calibri" w:cs="Calibri"/>
          <w:sz w:val="24"/>
          <w:szCs w:val="24"/>
          <w:lang w:val="en-US"/>
        </w:rPr>
        <w:t>A cap on compensation shall be applicable to the Bulgaria-Greece</w:t>
      </w:r>
      <w:r w:rsidRPr="00801342">
        <w:rPr>
          <w:rFonts w:ascii="Calibri" w:hAnsi="Calibri" w:cs="Calibri"/>
          <w:sz w:val="24"/>
          <w:szCs w:val="24"/>
          <w:lang w:val="en-US"/>
        </w:rPr>
        <w:t xml:space="preserve"> border in accordance with Article 59</w:t>
      </w:r>
      <w:r w:rsidRPr="00311CBC">
        <w:rPr>
          <w:rFonts w:ascii="Calibri" w:hAnsi="Calibri" w:cs="Calibri"/>
          <w:sz w:val="24"/>
          <w:szCs w:val="24"/>
          <w:lang w:val="en-US"/>
        </w:rPr>
        <w:t>(2) of the HAR</w:t>
      </w:r>
      <w:r w:rsidRPr="000B3632">
        <w:rPr>
          <w:rFonts w:ascii="Calibri" w:hAnsi="Calibri" w:cs="Calibri"/>
          <w:sz w:val="24"/>
          <w:szCs w:val="24"/>
          <w:lang w:val="en-US"/>
        </w:rPr>
        <w:t>.</w:t>
      </w:r>
    </w:p>
    <w:p w14:paraId="2A9477F2" w14:textId="77777777" w:rsidR="00491823" w:rsidRPr="00175F82" w:rsidRDefault="00491823" w:rsidP="00EF35F4">
      <w:pPr>
        <w:spacing w:line="340" w:lineRule="exact"/>
        <w:jc w:val="both"/>
        <w:outlineLvl w:val="0"/>
        <w:rPr>
          <w:rFonts w:ascii="Calibri" w:hAnsi="Calibri" w:cs="Calibri"/>
          <w:b/>
          <w:bCs/>
          <w:color w:val="23236E"/>
          <w:sz w:val="24"/>
          <w:szCs w:val="24"/>
          <w:lang w:val="en-US"/>
        </w:rPr>
      </w:pPr>
    </w:p>
    <w:p w14:paraId="1CCA38E9" w14:textId="77777777" w:rsidR="00491823" w:rsidRPr="00865584" w:rsidRDefault="00491823">
      <w:pPr>
        <w:spacing w:line="340" w:lineRule="exact"/>
        <w:jc w:val="center"/>
        <w:outlineLvl w:val="0"/>
        <w:rPr>
          <w:rFonts w:ascii="Calibri" w:hAnsi="Calibri" w:cs="Calibri"/>
          <w:b/>
          <w:bCs/>
          <w:color w:val="23236E"/>
          <w:sz w:val="24"/>
          <w:szCs w:val="24"/>
          <w:lang w:val="en-US"/>
        </w:rPr>
      </w:pPr>
      <w:r w:rsidRPr="00865584">
        <w:rPr>
          <w:rFonts w:ascii="Calibri" w:hAnsi="Calibri" w:cs="Calibri"/>
          <w:b/>
          <w:bCs/>
          <w:color w:val="23236E"/>
          <w:sz w:val="24"/>
          <w:szCs w:val="24"/>
          <w:lang w:val="en-US"/>
        </w:rPr>
        <w:t xml:space="preserve">TITLE 3 </w:t>
      </w:r>
      <w:r w:rsidRPr="00865584">
        <w:rPr>
          <w:rFonts w:ascii="Calibri" w:hAnsi="Calibri" w:cs="Calibri"/>
          <w:b/>
          <w:bCs/>
          <w:color w:val="23236E"/>
          <w:sz w:val="24"/>
          <w:szCs w:val="24"/>
          <w:lang w:val="en-US"/>
        </w:rPr>
        <w:br/>
        <w:t>Further regional or bidding zone border specific requirements</w:t>
      </w:r>
    </w:p>
    <w:p w14:paraId="14F60CC0" w14:textId="77777777" w:rsidR="00491823" w:rsidRPr="00423207" w:rsidRDefault="00491823" w:rsidP="00EF35F4">
      <w:pPr>
        <w:spacing w:line="340" w:lineRule="exact"/>
        <w:jc w:val="both"/>
        <w:outlineLvl w:val="0"/>
        <w:rPr>
          <w:rFonts w:ascii="Calibri" w:hAnsi="Calibri" w:cs="Calibri"/>
          <w:b/>
          <w:bCs/>
          <w:color w:val="23236E"/>
          <w:sz w:val="24"/>
          <w:szCs w:val="24"/>
          <w:lang w:val="en-US"/>
        </w:rPr>
      </w:pPr>
    </w:p>
    <w:p w14:paraId="3E53EDE1" w14:textId="77777777" w:rsidR="00491823" w:rsidRPr="007C0154" w:rsidRDefault="00491823">
      <w:pPr>
        <w:spacing w:line="340" w:lineRule="exact"/>
        <w:jc w:val="center"/>
        <w:outlineLvl w:val="0"/>
        <w:rPr>
          <w:rFonts w:ascii="Calibri" w:hAnsi="Calibri" w:cs="Calibri"/>
          <w:b/>
          <w:bCs/>
          <w:color w:val="23236E"/>
          <w:sz w:val="24"/>
          <w:szCs w:val="24"/>
          <w:lang w:val="en-US"/>
        </w:rPr>
      </w:pPr>
      <w:r w:rsidRPr="007C0154">
        <w:rPr>
          <w:rFonts w:ascii="Calibri" w:hAnsi="Calibri" w:cs="Calibri"/>
          <w:b/>
          <w:bCs/>
          <w:color w:val="23236E"/>
          <w:sz w:val="24"/>
          <w:szCs w:val="24"/>
          <w:lang w:val="en-US"/>
        </w:rPr>
        <w:t>Article 7</w:t>
      </w:r>
    </w:p>
    <w:p w14:paraId="34D99932" w14:textId="77777777" w:rsidR="00491823" w:rsidRPr="007C0154" w:rsidRDefault="00491823">
      <w:pPr>
        <w:spacing w:line="340" w:lineRule="exact"/>
        <w:jc w:val="center"/>
        <w:outlineLvl w:val="0"/>
        <w:rPr>
          <w:rFonts w:ascii="Calibri" w:hAnsi="Calibri" w:cs="Calibri"/>
          <w:b/>
          <w:bCs/>
          <w:color w:val="002060"/>
          <w:sz w:val="24"/>
          <w:szCs w:val="24"/>
          <w:lang w:val="en-US"/>
        </w:rPr>
      </w:pPr>
      <w:r w:rsidRPr="007C0154">
        <w:rPr>
          <w:rFonts w:ascii="Calibri" w:hAnsi="Calibri" w:cs="Calibri"/>
          <w:b/>
          <w:bCs/>
          <w:color w:val="002060"/>
          <w:sz w:val="24"/>
          <w:szCs w:val="24"/>
        </w:rPr>
        <w:t>Types of Long Term Transmission Rights applied in CCR SEE</w:t>
      </w:r>
    </w:p>
    <w:p w14:paraId="1AD6DF72" w14:textId="77777777" w:rsidR="00491823" w:rsidRPr="008D1B0C" w:rsidRDefault="00491823" w:rsidP="008D1B0C">
      <w:pPr>
        <w:spacing w:after="120"/>
        <w:rPr>
          <w:sz w:val="24"/>
          <w:szCs w:val="24"/>
        </w:rPr>
      </w:pPr>
    </w:p>
    <w:p w14:paraId="4046C872" w14:textId="3F195E51" w:rsidR="00491823" w:rsidRPr="007C0154" w:rsidRDefault="00491823" w:rsidP="00EF35F4">
      <w:pPr>
        <w:pStyle w:val="ListParagraph"/>
        <w:spacing w:after="120"/>
        <w:rPr>
          <w:sz w:val="24"/>
          <w:szCs w:val="24"/>
          <w:lang w:val="en-US"/>
        </w:rPr>
      </w:pPr>
      <w:r w:rsidRPr="007C0154">
        <w:rPr>
          <w:sz w:val="24"/>
          <w:szCs w:val="24"/>
        </w:rPr>
        <w:t xml:space="preserve">Types of Long Term Transmission Rights applied in </w:t>
      </w:r>
      <w:r w:rsidR="00727D9F">
        <w:rPr>
          <w:sz w:val="24"/>
          <w:szCs w:val="24"/>
        </w:rPr>
        <w:t xml:space="preserve">SEE CCR </w:t>
      </w:r>
      <w:r w:rsidRPr="007C0154">
        <w:rPr>
          <w:sz w:val="24"/>
          <w:szCs w:val="24"/>
        </w:rPr>
        <w:t xml:space="preserve">are mentioned in the following document: </w:t>
      </w:r>
      <w:r w:rsidRPr="007C0154">
        <w:rPr>
          <w:i/>
          <w:iCs/>
          <w:sz w:val="24"/>
          <w:szCs w:val="24"/>
        </w:rPr>
        <w:t>“Long Term Transmission Rights design for SEE (South East Europe) CCR in accordance with Article 31 of the Commission Regulation (EU) 2016/1719 of 26 September 2016 establishing a Guideline on Forward Capacity Allocation”.</w:t>
      </w:r>
    </w:p>
    <w:p w14:paraId="76848172" w14:textId="77777777" w:rsidR="00491823" w:rsidRPr="0034587A" w:rsidRDefault="00491823" w:rsidP="008E55C6">
      <w:pPr>
        <w:autoSpaceDE w:val="0"/>
        <w:autoSpaceDN w:val="0"/>
        <w:adjustRightInd w:val="0"/>
        <w:spacing w:before="120" w:after="120"/>
        <w:jc w:val="both"/>
        <w:rPr>
          <w:rFonts w:ascii="Calibri" w:hAnsi="Calibri" w:cs="Calibri"/>
          <w:sz w:val="24"/>
          <w:szCs w:val="24"/>
        </w:rPr>
      </w:pPr>
    </w:p>
    <w:p w14:paraId="5466EFEB" w14:textId="77777777" w:rsidR="00491823" w:rsidRPr="00BE4E03" w:rsidRDefault="00491823">
      <w:pPr>
        <w:spacing w:after="120" w:line="260" w:lineRule="exact"/>
        <w:jc w:val="center"/>
        <w:outlineLvl w:val="1"/>
        <w:rPr>
          <w:rFonts w:ascii="Calibri" w:hAnsi="Calibri" w:cs="Calibri"/>
          <w:b/>
          <w:bCs/>
          <w:color w:val="23236E"/>
          <w:sz w:val="24"/>
          <w:szCs w:val="24"/>
          <w:lang w:val="en-US"/>
        </w:rPr>
      </w:pPr>
      <w:r w:rsidRPr="003C74DB">
        <w:rPr>
          <w:rFonts w:ascii="Calibri" w:hAnsi="Calibri" w:cs="Calibri"/>
          <w:b/>
          <w:bCs/>
          <w:color w:val="23236E"/>
          <w:sz w:val="24"/>
          <w:szCs w:val="24"/>
          <w:lang w:val="en-US"/>
        </w:rPr>
        <w:t>Article 8</w:t>
      </w:r>
    </w:p>
    <w:p w14:paraId="0C0EEDCE" w14:textId="77777777" w:rsidR="00491823" w:rsidRPr="003C74DB" w:rsidRDefault="00491823">
      <w:pPr>
        <w:spacing w:after="120" w:line="260" w:lineRule="exact"/>
        <w:jc w:val="center"/>
        <w:outlineLvl w:val="1"/>
        <w:rPr>
          <w:rFonts w:ascii="Calibri" w:hAnsi="Calibri" w:cs="Calibri"/>
          <w:b/>
          <w:bCs/>
          <w:color w:val="23236E"/>
          <w:sz w:val="24"/>
          <w:szCs w:val="24"/>
          <w:lang w:val="en-US"/>
        </w:rPr>
      </w:pPr>
      <w:r w:rsidRPr="0034587A">
        <w:rPr>
          <w:rFonts w:ascii="Calibri" w:hAnsi="Calibri" w:cs="Calibri"/>
          <w:b/>
          <w:bCs/>
          <w:color w:val="23236E"/>
          <w:sz w:val="24"/>
          <w:szCs w:val="24"/>
          <w:lang w:val="en-US"/>
        </w:rPr>
        <w:t>Border specificities for the border Bulgaria – Greece</w:t>
      </w:r>
      <w:r>
        <w:rPr>
          <w:rFonts w:ascii="Calibri" w:hAnsi="Calibri" w:cs="Calibri"/>
          <w:b/>
          <w:bCs/>
          <w:color w:val="23236E"/>
          <w:sz w:val="24"/>
          <w:szCs w:val="24"/>
          <w:lang w:val="en-US"/>
        </w:rPr>
        <w:t xml:space="preserve"> (BG-GR)</w:t>
      </w:r>
    </w:p>
    <w:p w14:paraId="33C5ACBD" w14:textId="77777777" w:rsidR="00491823" w:rsidRPr="000C0BCE" w:rsidRDefault="00491823" w:rsidP="007C0154">
      <w:pPr>
        <w:pStyle w:val="ListParagraph"/>
        <w:autoSpaceDE w:val="0"/>
        <w:autoSpaceDN w:val="0"/>
        <w:adjustRightInd w:val="0"/>
        <w:ind w:left="567"/>
        <w:rPr>
          <w:sz w:val="24"/>
          <w:szCs w:val="24"/>
        </w:rPr>
      </w:pPr>
      <w:r w:rsidRPr="000C0BCE">
        <w:rPr>
          <w:b/>
          <w:bCs/>
          <w:color w:val="23236E"/>
          <w:sz w:val="24"/>
          <w:szCs w:val="24"/>
          <w:lang w:val="en-US"/>
        </w:rPr>
        <w:t xml:space="preserve">Temporary arrangement for curtailment deadline on Bulgaria-Greece Bidding Zone Border until Single Day-Ahead Coupling implementation on the Bidding Zone Border </w:t>
      </w:r>
    </w:p>
    <w:p w14:paraId="41808B47" w14:textId="77777777" w:rsidR="00491823" w:rsidRPr="00B07EF0" w:rsidRDefault="00491823" w:rsidP="00F6001D">
      <w:pPr>
        <w:pStyle w:val="ListParagraph"/>
        <w:numPr>
          <w:ilvl w:val="0"/>
          <w:numId w:val="9"/>
        </w:numPr>
        <w:spacing w:after="120"/>
        <w:ind w:left="567" w:hanging="567"/>
        <w:rPr>
          <w:sz w:val="24"/>
          <w:szCs w:val="24"/>
        </w:rPr>
      </w:pPr>
      <w:r w:rsidRPr="00B07EF0">
        <w:rPr>
          <w:sz w:val="24"/>
          <w:szCs w:val="24"/>
        </w:rPr>
        <w:t xml:space="preserve">According to art. 56 </w:t>
      </w:r>
      <w:r>
        <w:rPr>
          <w:sz w:val="24"/>
          <w:szCs w:val="24"/>
        </w:rPr>
        <w:t xml:space="preserve">of the HAR, </w:t>
      </w:r>
      <w:r w:rsidRPr="00B07EF0">
        <w:rPr>
          <w:sz w:val="24"/>
          <w:szCs w:val="24"/>
        </w:rPr>
        <w:t>Long Term Transmission Rights irrespectively of the Product Period may be curtailed:</w:t>
      </w:r>
    </w:p>
    <w:p w14:paraId="7B6BFA9B" w14:textId="77777777" w:rsidR="00491823" w:rsidRPr="00E246A8" w:rsidRDefault="00491823" w:rsidP="00F6001D">
      <w:pPr>
        <w:pStyle w:val="ListParagraph"/>
        <w:numPr>
          <w:ilvl w:val="0"/>
          <w:numId w:val="10"/>
        </w:numPr>
        <w:spacing w:after="120"/>
        <w:ind w:left="1134" w:hanging="567"/>
        <w:rPr>
          <w:sz w:val="24"/>
          <w:szCs w:val="24"/>
        </w:rPr>
      </w:pPr>
      <w:r w:rsidRPr="00E246A8">
        <w:rPr>
          <w:sz w:val="24"/>
          <w:szCs w:val="24"/>
        </w:rPr>
        <w:lastRenderedPageBreak/>
        <w:t>Before the Day Ahead Firmness Deadline in the event of Force Majeure, or to ensure operation remains within Operational Security Limits;</w:t>
      </w:r>
    </w:p>
    <w:p w14:paraId="787A0803" w14:textId="77777777" w:rsidR="00491823" w:rsidRPr="00E246A8" w:rsidRDefault="00491823" w:rsidP="00F6001D">
      <w:pPr>
        <w:pStyle w:val="ListParagraph"/>
        <w:numPr>
          <w:ilvl w:val="0"/>
          <w:numId w:val="10"/>
        </w:numPr>
        <w:spacing w:after="120"/>
        <w:ind w:left="1134" w:hanging="567"/>
        <w:rPr>
          <w:sz w:val="24"/>
          <w:szCs w:val="24"/>
        </w:rPr>
      </w:pPr>
      <w:r w:rsidRPr="00E246A8">
        <w:rPr>
          <w:sz w:val="24"/>
          <w:szCs w:val="24"/>
        </w:rPr>
        <w:t>After the Day Ahead Firmness Deadline in the case of Force Majeure or emergency situation in accordance with Article 72 of Commission Regulation (EU) 2015/1222.</w:t>
      </w:r>
    </w:p>
    <w:p w14:paraId="7C925718" w14:textId="5CA90075" w:rsidR="00491823" w:rsidRPr="00F24CC1" w:rsidRDefault="00491823" w:rsidP="00F6001D">
      <w:pPr>
        <w:pStyle w:val="ListParagraph"/>
        <w:numPr>
          <w:ilvl w:val="0"/>
          <w:numId w:val="9"/>
        </w:numPr>
        <w:ind w:left="567" w:hanging="567"/>
        <w:rPr>
          <w:lang w:val="en-US"/>
        </w:rPr>
      </w:pPr>
      <w:r w:rsidRPr="00F24CC1">
        <w:rPr>
          <w:sz w:val="24"/>
          <w:szCs w:val="24"/>
        </w:rPr>
        <w:t xml:space="preserve">Until Single Day-Ahead Coupling </w:t>
      </w:r>
      <w:r w:rsidR="00727D9F">
        <w:rPr>
          <w:sz w:val="24"/>
          <w:szCs w:val="24"/>
        </w:rPr>
        <w:t>is</w:t>
      </w:r>
      <w:r w:rsidRPr="00F24CC1">
        <w:rPr>
          <w:sz w:val="24"/>
          <w:szCs w:val="24"/>
        </w:rPr>
        <w:t xml:space="preserve"> implemented on Bulgaria - Greece border, the </w:t>
      </w:r>
      <w:r w:rsidRPr="008E166F">
        <w:rPr>
          <w:sz w:val="24"/>
          <w:szCs w:val="24"/>
        </w:rPr>
        <w:t xml:space="preserve">deadline for LTTR </w:t>
      </w:r>
      <w:r w:rsidRPr="00773B62">
        <w:rPr>
          <w:sz w:val="24"/>
          <w:szCs w:val="24"/>
        </w:rPr>
        <w:t xml:space="preserve">firmness is set as </w:t>
      </w:r>
      <w:r w:rsidR="00F6001D" w:rsidRPr="00773B62">
        <w:rPr>
          <w:sz w:val="24"/>
          <w:szCs w:val="24"/>
        </w:rPr>
        <w:t xml:space="preserve">the </w:t>
      </w:r>
      <w:r w:rsidRPr="00773B62">
        <w:rPr>
          <w:sz w:val="24"/>
          <w:szCs w:val="24"/>
        </w:rPr>
        <w:t>deadline</w:t>
      </w:r>
      <w:r w:rsidRPr="00F24CC1">
        <w:rPr>
          <w:sz w:val="24"/>
          <w:szCs w:val="24"/>
        </w:rPr>
        <w:t xml:space="preserve"> for final submission of nominations of Long Term Physical Transmission Rights with the concerned TSOs.</w:t>
      </w:r>
    </w:p>
    <w:p w14:paraId="1524253D" w14:textId="77777777" w:rsidR="00491823" w:rsidRDefault="00491823" w:rsidP="00865584">
      <w:pPr>
        <w:spacing w:after="120" w:line="260" w:lineRule="exact"/>
        <w:jc w:val="center"/>
        <w:outlineLvl w:val="1"/>
        <w:rPr>
          <w:rFonts w:ascii="Calibri" w:hAnsi="Calibri" w:cs="Calibri"/>
          <w:b/>
          <w:bCs/>
          <w:color w:val="23236E"/>
          <w:sz w:val="24"/>
          <w:szCs w:val="24"/>
          <w:lang w:val="en-US"/>
        </w:rPr>
      </w:pPr>
    </w:p>
    <w:p w14:paraId="26B54FD5" w14:textId="77777777" w:rsidR="00491823" w:rsidRDefault="00491823" w:rsidP="00865584">
      <w:pPr>
        <w:spacing w:after="120" w:line="260" w:lineRule="exact"/>
        <w:jc w:val="center"/>
        <w:outlineLvl w:val="1"/>
        <w:rPr>
          <w:rFonts w:ascii="Calibri" w:hAnsi="Calibri" w:cs="Calibri"/>
          <w:b/>
          <w:bCs/>
          <w:color w:val="23236E"/>
          <w:sz w:val="24"/>
          <w:szCs w:val="24"/>
          <w:lang w:val="en-US"/>
        </w:rPr>
      </w:pPr>
    </w:p>
    <w:p w14:paraId="14C45A79" w14:textId="77777777" w:rsidR="00491823" w:rsidRDefault="00491823" w:rsidP="00865584">
      <w:pPr>
        <w:spacing w:after="120" w:line="260" w:lineRule="exact"/>
        <w:jc w:val="center"/>
        <w:outlineLvl w:val="1"/>
        <w:rPr>
          <w:rFonts w:ascii="Calibri" w:hAnsi="Calibri" w:cs="Calibri"/>
          <w:b/>
          <w:bCs/>
          <w:color w:val="23236E"/>
          <w:sz w:val="24"/>
          <w:szCs w:val="24"/>
          <w:lang w:val="en-US"/>
        </w:rPr>
      </w:pPr>
      <w:r w:rsidRPr="003C74DB">
        <w:rPr>
          <w:rFonts w:ascii="Calibri" w:hAnsi="Calibri" w:cs="Calibri"/>
          <w:b/>
          <w:bCs/>
          <w:color w:val="23236E"/>
          <w:sz w:val="24"/>
          <w:szCs w:val="24"/>
          <w:lang w:val="en-US"/>
        </w:rPr>
        <w:t xml:space="preserve">Article </w:t>
      </w:r>
      <w:r>
        <w:rPr>
          <w:rFonts w:ascii="Calibri" w:hAnsi="Calibri" w:cs="Calibri"/>
          <w:b/>
          <w:bCs/>
          <w:color w:val="23236E"/>
          <w:sz w:val="24"/>
          <w:szCs w:val="24"/>
          <w:lang w:val="en-US"/>
        </w:rPr>
        <w:t>9</w:t>
      </w:r>
    </w:p>
    <w:p w14:paraId="4BCFA15C" w14:textId="5A8365CA" w:rsidR="00491823" w:rsidRPr="00BE4E03" w:rsidRDefault="00491823">
      <w:pPr>
        <w:spacing w:after="120" w:line="260" w:lineRule="exact"/>
        <w:jc w:val="center"/>
        <w:outlineLvl w:val="1"/>
        <w:rPr>
          <w:rFonts w:ascii="Calibri" w:hAnsi="Calibri" w:cs="Calibri"/>
          <w:b/>
          <w:bCs/>
          <w:color w:val="23236E"/>
          <w:sz w:val="24"/>
          <w:szCs w:val="24"/>
          <w:lang w:val="en-US"/>
        </w:rPr>
      </w:pPr>
      <w:r w:rsidRPr="0034587A">
        <w:rPr>
          <w:rFonts w:ascii="Calibri" w:hAnsi="Calibri" w:cs="Calibri"/>
          <w:b/>
          <w:bCs/>
          <w:color w:val="23236E"/>
          <w:sz w:val="24"/>
          <w:szCs w:val="24"/>
          <w:lang w:val="en-US"/>
        </w:rPr>
        <w:t xml:space="preserve">Border specificities </w:t>
      </w:r>
      <w:r>
        <w:rPr>
          <w:rFonts w:ascii="Calibri" w:hAnsi="Calibri" w:cs="Calibri"/>
          <w:b/>
          <w:bCs/>
          <w:color w:val="23236E"/>
          <w:sz w:val="24"/>
          <w:szCs w:val="24"/>
          <w:lang w:val="en-US"/>
        </w:rPr>
        <w:t>for the border Romania – Bulgaria (RO-BG)</w:t>
      </w:r>
    </w:p>
    <w:p w14:paraId="776E123F" w14:textId="77777777" w:rsidR="00491823" w:rsidRPr="00F24CC1" w:rsidRDefault="00491823" w:rsidP="00865584">
      <w:pPr>
        <w:spacing w:after="120" w:line="260" w:lineRule="exact"/>
        <w:jc w:val="center"/>
        <w:outlineLvl w:val="1"/>
        <w:rPr>
          <w:rFonts w:ascii="Calibri" w:hAnsi="Calibri" w:cs="Calibri"/>
          <w:b/>
          <w:bCs/>
          <w:color w:val="23236E"/>
          <w:sz w:val="24"/>
          <w:szCs w:val="24"/>
          <w:lang w:val="en-US"/>
        </w:rPr>
      </w:pPr>
      <w:r w:rsidRPr="007C0154">
        <w:rPr>
          <w:rFonts w:ascii="Calibri" w:hAnsi="Calibri" w:cs="Calibri"/>
          <w:b/>
          <w:bCs/>
          <w:color w:val="23236E"/>
          <w:sz w:val="24"/>
          <w:szCs w:val="24"/>
          <w:lang w:val="en-US"/>
        </w:rPr>
        <w:t>Temporary arrangement for curtail</w:t>
      </w:r>
      <w:r w:rsidRPr="00F24CC1">
        <w:rPr>
          <w:rFonts w:ascii="Calibri" w:hAnsi="Calibri" w:cs="Calibri"/>
          <w:b/>
          <w:bCs/>
          <w:color w:val="23236E"/>
          <w:sz w:val="24"/>
          <w:szCs w:val="24"/>
          <w:lang w:val="en-US"/>
        </w:rPr>
        <w:t xml:space="preserve">ment deadline on </w:t>
      </w:r>
      <w:r>
        <w:rPr>
          <w:rFonts w:ascii="Calibri" w:hAnsi="Calibri" w:cs="Calibri"/>
          <w:b/>
          <w:bCs/>
          <w:color w:val="23236E"/>
          <w:sz w:val="24"/>
          <w:szCs w:val="24"/>
          <w:lang w:val="en-US"/>
        </w:rPr>
        <w:t xml:space="preserve">Romania - </w:t>
      </w:r>
      <w:r w:rsidRPr="00F24CC1">
        <w:rPr>
          <w:rFonts w:ascii="Calibri" w:hAnsi="Calibri" w:cs="Calibri"/>
          <w:b/>
          <w:bCs/>
          <w:color w:val="23236E"/>
          <w:sz w:val="24"/>
          <w:szCs w:val="24"/>
          <w:lang w:val="en-US"/>
        </w:rPr>
        <w:t>Bulgaria</w:t>
      </w:r>
      <w:r w:rsidRPr="007C0154">
        <w:rPr>
          <w:rFonts w:ascii="Calibri" w:hAnsi="Calibri" w:cs="Calibri"/>
          <w:b/>
          <w:bCs/>
          <w:color w:val="23236E"/>
          <w:sz w:val="24"/>
          <w:szCs w:val="24"/>
          <w:lang w:val="en-US"/>
        </w:rPr>
        <w:t xml:space="preserve"> Bidding Zone Border until Single Day-Ahead Coupling implementation on the Bidding Zone Border</w:t>
      </w:r>
    </w:p>
    <w:p w14:paraId="3CAAFF00" w14:textId="5140E48D" w:rsidR="00491823" w:rsidRPr="008D1B0C" w:rsidRDefault="00491823" w:rsidP="00136D9F">
      <w:pPr>
        <w:pStyle w:val="ListParagraph"/>
        <w:numPr>
          <w:ilvl w:val="0"/>
          <w:numId w:val="7"/>
        </w:numPr>
        <w:tabs>
          <w:tab w:val="left" w:pos="567"/>
        </w:tabs>
        <w:spacing w:after="0"/>
        <w:ind w:left="567" w:hanging="567"/>
        <w:rPr>
          <w:rFonts w:asciiTheme="minorHAnsi" w:hAnsiTheme="minorHAnsi" w:cstheme="minorHAnsi"/>
          <w:sz w:val="24"/>
          <w:szCs w:val="24"/>
        </w:rPr>
      </w:pPr>
      <w:bookmarkStart w:id="4" w:name="_Ref400930596"/>
      <w:r w:rsidRPr="008D1B0C">
        <w:rPr>
          <w:rFonts w:asciiTheme="minorHAnsi" w:hAnsiTheme="minorHAnsi" w:cstheme="minorHAnsi"/>
          <w:sz w:val="24"/>
          <w:szCs w:val="24"/>
        </w:rPr>
        <w:t xml:space="preserve">The Allocation Platform shall publish on its website and take into account for the calculation of compensation for curtailed Long Term Transmission Rights the </w:t>
      </w:r>
      <w:r w:rsidR="00727D9F" w:rsidRPr="008D1B0C">
        <w:rPr>
          <w:rStyle w:val="fontstyle01"/>
          <w:rFonts w:asciiTheme="minorHAnsi" w:hAnsiTheme="minorHAnsi" w:cstheme="minorHAnsi"/>
          <w:sz w:val="24"/>
          <w:szCs w:val="24"/>
        </w:rPr>
        <w:t>deadline for LTTR firmness</w:t>
      </w:r>
      <w:r w:rsidR="00727D9F" w:rsidRPr="008D1B0C">
        <w:rPr>
          <w:rFonts w:asciiTheme="minorHAnsi" w:hAnsiTheme="minorHAnsi" w:cstheme="minorHAnsi"/>
          <w:color w:val="000000"/>
          <w:sz w:val="24"/>
          <w:szCs w:val="24"/>
        </w:rPr>
        <w:t xml:space="preserve"> </w:t>
      </w:r>
      <w:r w:rsidR="00727D9F" w:rsidRPr="008D1B0C">
        <w:rPr>
          <w:rStyle w:val="fontstyle01"/>
          <w:rFonts w:asciiTheme="minorHAnsi" w:hAnsiTheme="minorHAnsi" w:cstheme="minorHAnsi"/>
          <w:sz w:val="24"/>
          <w:szCs w:val="24"/>
        </w:rPr>
        <w:t>(curtailment deadline)</w:t>
      </w:r>
      <w:r w:rsidRPr="008D1B0C">
        <w:rPr>
          <w:rFonts w:asciiTheme="minorHAnsi" w:hAnsiTheme="minorHAnsi" w:cstheme="minorHAnsi"/>
          <w:sz w:val="24"/>
          <w:szCs w:val="24"/>
        </w:rPr>
        <w:t xml:space="preserve"> which for the purpose of these Allocation Rules is 10:00 (CET) for the Romania - Bulgaria Bidding Zone Border</w:t>
      </w:r>
      <w:r w:rsidR="00727D9F" w:rsidRPr="008D1B0C">
        <w:rPr>
          <w:rFonts w:asciiTheme="minorHAnsi" w:hAnsiTheme="minorHAnsi" w:cstheme="minorHAnsi"/>
          <w:sz w:val="24"/>
          <w:szCs w:val="24"/>
        </w:rPr>
        <w:t>.</w:t>
      </w:r>
      <w:r w:rsidRPr="008D1B0C">
        <w:rPr>
          <w:rFonts w:asciiTheme="minorHAnsi" w:hAnsiTheme="minorHAnsi" w:cstheme="minorHAnsi"/>
          <w:sz w:val="24"/>
          <w:szCs w:val="24"/>
        </w:rPr>
        <w:t xml:space="preserve"> </w:t>
      </w:r>
      <w:bookmarkEnd w:id="4"/>
    </w:p>
    <w:p w14:paraId="07057EDE" w14:textId="5461D3DA" w:rsidR="00491823" w:rsidRPr="007C0154" w:rsidRDefault="00491823" w:rsidP="00136D9F">
      <w:pPr>
        <w:pStyle w:val="ListParagraph"/>
        <w:numPr>
          <w:ilvl w:val="0"/>
          <w:numId w:val="7"/>
        </w:numPr>
        <w:tabs>
          <w:tab w:val="left" w:pos="567"/>
        </w:tabs>
        <w:spacing w:before="120" w:after="0"/>
        <w:ind w:left="567" w:hanging="567"/>
        <w:rPr>
          <w:sz w:val="24"/>
          <w:szCs w:val="24"/>
        </w:rPr>
      </w:pPr>
      <w:r w:rsidRPr="007C0154">
        <w:rPr>
          <w:sz w:val="24"/>
          <w:szCs w:val="24"/>
        </w:rPr>
        <w:t xml:space="preserve">The </w:t>
      </w:r>
      <w:r>
        <w:rPr>
          <w:sz w:val="24"/>
          <w:szCs w:val="24"/>
        </w:rPr>
        <w:t>above-</w:t>
      </w:r>
      <w:r w:rsidRPr="007C0154">
        <w:rPr>
          <w:sz w:val="24"/>
          <w:szCs w:val="24"/>
        </w:rPr>
        <w:t xml:space="preserve">mentioned </w:t>
      </w:r>
      <w:r w:rsidRPr="00136D9F">
        <w:rPr>
          <w:sz w:val="24"/>
          <w:szCs w:val="24"/>
        </w:rPr>
        <w:t>deadline for LTTR firmness</w:t>
      </w:r>
      <w:r>
        <w:rPr>
          <w:rFonts w:ascii="ArialMT" w:hAnsi="ArialMT" w:cs="ArialMT"/>
          <w:color w:val="000000"/>
        </w:rPr>
        <w:t xml:space="preserve"> </w:t>
      </w:r>
      <w:r w:rsidRPr="007C0154">
        <w:rPr>
          <w:sz w:val="24"/>
          <w:szCs w:val="24"/>
        </w:rPr>
        <w:t xml:space="preserve">will be </w:t>
      </w:r>
      <w:r>
        <w:rPr>
          <w:sz w:val="24"/>
          <w:szCs w:val="24"/>
        </w:rPr>
        <w:t>considered</w:t>
      </w:r>
      <w:r w:rsidRPr="007C0154">
        <w:rPr>
          <w:sz w:val="24"/>
          <w:szCs w:val="24"/>
        </w:rPr>
        <w:t xml:space="preserve"> until Single Day-Ahead Coupling </w:t>
      </w:r>
      <w:r w:rsidR="00727D9F">
        <w:rPr>
          <w:sz w:val="24"/>
          <w:szCs w:val="24"/>
        </w:rPr>
        <w:t>is</w:t>
      </w:r>
      <w:r w:rsidR="008D1B0C">
        <w:rPr>
          <w:sz w:val="24"/>
          <w:szCs w:val="24"/>
        </w:rPr>
        <w:t xml:space="preserve"> </w:t>
      </w:r>
      <w:bookmarkStart w:id="5" w:name="_GoBack"/>
      <w:bookmarkEnd w:id="5"/>
      <w:r w:rsidRPr="007C0154">
        <w:rPr>
          <w:sz w:val="24"/>
          <w:szCs w:val="24"/>
        </w:rPr>
        <w:t xml:space="preserve">implemented on Romania - Bulgaria </w:t>
      </w:r>
      <w:r w:rsidRPr="00730C3E">
        <w:rPr>
          <w:sz w:val="24"/>
          <w:szCs w:val="24"/>
        </w:rPr>
        <w:t xml:space="preserve">Bidding Zone </w:t>
      </w:r>
      <w:proofErr w:type="gramStart"/>
      <w:r w:rsidRPr="00730C3E">
        <w:rPr>
          <w:sz w:val="24"/>
          <w:szCs w:val="24"/>
        </w:rPr>
        <w:t>Border</w:t>
      </w:r>
      <w:r>
        <w:rPr>
          <w:sz w:val="24"/>
          <w:szCs w:val="24"/>
        </w:rPr>
        <w:t xml:space="preserve"> </w:t>
      </w:r>
      <w:r>
        <w:rPr>
          <w:rFonts w:ascii="Times New Roman" w:hAnsi="Times New Roman" w:cs="Times New Roman"/>
          <w:sz w:val="24"/>
          <w:szCs w:val="24"/>
        </w:rPr>
        <w:t>.</w:t>
      </w:r>
      <w:proofErr w:type="gramEnd"/>
    </w:p>
    <w:p w14:paraId="78E0B248" w14:textId="77777777" w:rsidR="00491823" w:rsidRPr="00F6001D" w:rsidRDefault="00491823" w:rsidP="0034587A">
      <w:pPr>
        <w:spacing w:after="120"/>
        <w:rPr>
          <w:rFonts w:ascii="Calibri" w:hAnsi="Calibri" w:cs="Calibri"/>
          <w:sz w:val="24"/>
          <w:szCs w:val="24"/>
        </w:rPr>
      </w:pPr>
    </w:p>
    <w:p w14:paraId="5F2477BB" w14:textId="77777777" w:rsidR="00491823" w:rsidRPr="004833EE" w:rsidRDefault="00491823" w:rsidP="0034587A">
      <w:pPr>
        <w:spacing w:after="120"/>
        <w:jc w:val="center"/>
        <w:rPr>
          <w:rFonts w:ascii="Calibri" w:hAnsi="Calibri" w:cs="Calibri"/>
          <w:b/>
          <w:bCs/>
          <w:color w:val="002060"/>
          <w:sz w:val="24"/>
          <w:szCs w:val="24"/>
          <w:lang w:val="en-US"/>
        </w:rPr>
      </w:pPr>
      <w:r w:rsidRPr="004833EE">
        <w:rPr>
          <w:rFonts w:ascii="Calibri" w:hAnsi="Calibri" w:cs="Calibri"/>
          <w:b/>
          <w:bCs/>
          <w:color w:val="002060"/>
          <w:sz w:val="24"/>
          <w:szCs w:val="24"/>
          <w:lang w:val="en-US"/>
        </w:rPr>
        <w:t xml:space="preserve">Article </w:t>
      </w:r>
      <w:r>
        <w:rPr>
          <w:rFonts w:ascii="Calibri" w:hAnsi="Calibri" w:cs="Calibri"/>
          <w:b/>
          <w:bCs/>
          <w:color w:val="002060"/>
          <w:sz w:val="24"/>
          <w:szCs w:val="24"/>
          <w:lang w:val="en-US"/>
        </w:rPr>
        <w:t>10</w:t>
      </w:r>
    </w:p>
    <w:p w14:paraId="15121947" w14:textId="77777777" w:rsidR="00491823" w:rsidRDefault="00491823" w:rsidP="0034587A">
      <w:pPr>
        <w:spacing w:after="120"/>
        <w:jc w:val="center"/>
        <w:rPr>
          <w:rFonts w:ascii="Calibri" w:hAnsi="Calibri" w:cs="Calibri"/>
          <w:b/>
          <w:bCs/>
          <w:color w:val="002060"/>
          <w:sz w:val="24"/>
          <w:szCs w:val="24"/>
          <w:lang w:val="en-US"/>
        </w:rPr>
      </w:pPr>
      <w:r w:rsidRPr="004833EE">
        <w:rPr>
          <w:rFonts w:ascii="Calibri" w:hAnsi="Calibri" w:cs="Calibri"/>
          <w:b/>
          <w:bCs/>
          <w:color w:val="002060"/>
          <w:sz w:val="24"/>
          <w:szCs w:val="24"/>
          <w:lang w:val="en-US"/>
        </w:rPr>
        <w:t>Entry into force</w:t>
      </w:r>
    </w:p>
    <w:p w14:paraId="7260722F" w14:textId="77777777" w:rsidR="00491823" w:rsidRPr="007C0154" w:rsidRDefault="00491823" w:rsidP="00F6001D">
      <w:pPr>
        <w:pStyle w:val="ListParagraph"/>
        <w:numPr>
          <w:ilvl w:val="0"/>
          <w:numId w:val="11"/>
        </w:numPr>
        <w:shd w:val="clear" w:color="auto" w:fill="FFFFFF"/>
        <w:spacing w:after="0"/>
        <w:ind w:left="567" w:hanging="567"/>
        <w:rPr>
          <w:sz w:val="24"/>
          <w:szCs w:val="24"/>
          <w:lang w:val="en-US" w:eastAsia="el-GR"/>
        </w:rPr>
      </w:pPr>
      <w:r w:rsidRPr="007C0154">
        <w:rPr>
          <w:sz w:val="24"/>
          <w:szCs w:val="24"/>
          <w:lang w:val="en-US" w:eastAsia="el-GR"/>
        </w:rPr>
        <w:t xml:space="preserve">Pursuant to ACER Decision 6/2017, the </w:t>
      </w:r>
      <w:proofErr w:type="spellStart"/>
      <w:r w:rsidRPr="007C0154">
        <w:rPr>
          <w:sz w:val="24"/>
          <w:szCs w:val="24"/>
          <w:lang w:val="en-US" w:eastAsia="el-GR"/>
        </w:rPr>
        <w:t>Harmonised</w:t>
      </w:r>
      <w:proofErr w:type="spellEnd"/>
      <w:r w:rsidRPr="007C0154">
        <w:rPr>
          <w:sz w:val="24"/>
          <w:szCs w:val="24"/>
          <w:lang w:val="en-US" w:eastAsia="el-GR"/>
        </w:rPr>
        <w:t xml:space="preserve"> Allocation Rules for long term transmission rights and the SEE CCR </w:t>
      </w:r>
      <w:proofErr w:type="spellStart"/>
      <w:r w:rsidRPr="007C0154">
        <w:rPr>
          <w:sz w:val="24"/>
          <w:szCs w:val="24"/>
          <w:lang w:val="en-US" w:eastAsia="el-GR"/>
        </w:rPr>
        <w:t>Harmonised</w:t>
      </w:r>
      <w:proofErr w:type="spellEnd"/>
      <w:r w:rsidRPr="007C0154">
        <w:rPr>
          <w:sz w:val="24"/>
          <w:szCs w:val="24"/>
          <w:lang w:val="en-US" w:eastAsia="el-GR"/>
        </w:rPr>
        <w:t xml:space="preserve"> Allocation Rules Regional Specific Annex Allocation Rules, applying to the borders of the SEE CCR, are in force from 01.01.2019. </w:t>
      </w:r>
    </w:p>
    <w:p w14:paraId="79097A85" w14:textId="77777777" w:rsidR="00491823" w:rsidRPr="007C0154" w:rsidRDefault="00491823" w:rsidP="00F6001D">
      <w:pPr>
        <w:pStyle w:val="ListParagraph"/>
        <w:numPr>
          <w:ilvl w:val="0"/>
          <w:numId w:val="11"/>
        </w:numPr>
        <w:shd w:val="clear" w:color="auto" w:fill="FFFFFF"/>
        <w:spacing w:before="120" w:after="0"/>
        <w:ind w:left="567" w:hanging="567"/>
        <w:rPr>
          <w:sz w:val="24"/>
          <w:szCs w:val="24"/>
          <w:lang w:val="en-US" w:eastAsia="el-GR"/>
        </w:rPr>
      </w:pPr>
      <w:r w:rsidRPr="007C0154">
        <w:rPr>
          <w:sz w:val="24"/>
          <w:szCs w:val="24"/>
          <w:lang w:val="en-US" w:eastAsia="el-GR"/>
        </w:rPr>
        <w:t xml:space="preserve">This Annex, as amended, shall enter into force at the date and time specified in the notice sent to Registered Participants by the Allocation Platform, in accordance with the applicable national regulatory regime and the procedure laid down in Article 68 (2) of the HAR and it is subject to prior approval by the relevant NRAs. </w:t>
      </w:r>
    </w:p>
    <w:p w14:paraId="7BAE2D7C" w14:textId="77777777" w:rsidR="00491823" w:rsidRPr="007C0154" w:rsidRDefault="00491823" w:rsidP="00F6001D">
      <w:pPr>
        <w:pStyle w:val="ListParagraph"/>
        <w:numPr>
          <w:ilvl w:val="0"/>
          <w:numId w:val="11"/>
        </w:numPr>
        <w:shd w:val="clear" w:color="auto" w:fill="FFFFFF"/>
        <w:spacing w:before="120" w:after="0"/>
        <w:ind w:left="567" w:hanging="567"/>
        <w:rPr>
          <w:sz w:val="24"/>
          <w:szCs w:val="24"/>
          <w:lang w:val="en-US" w:eastAsia="el-GR"/>
        </w:rPr>
      </w:pPr>
      <w:r w:rsidRPr="007C0154">
        <w:rPr>
          <w:sz w:val="24"/>
          <w:szCs w:val="24"/>
          <w:lang w:val="en-US" w:eastAsia="el-GR"/>
        </w:rPr>
        <w:t>This Annex may be further amended pursuant to paragraphs 1 and 2 of Article 68 of the HAR.</w:t>
      </w:r>
    </w:p>
    <w:p w14:paraId="6413E0E9" w14:textId="77777777" w:rsidR="00491823" w:rsidRPr="007C0154" w:rsidRDefault="00491823" w:rsidP="00F6001D">
      <w:pPr>
        <w:pStyle w:val="ListParagraph"/>
        <w:numPr>
          <w:ilvl w:val="0"/>
          <w:numId w:val="11"/>
        </w:numPr>
        <w:shd w:val="clear" w:color="auto" w:fill="FFFFFF"/>
        <w:spacing w:before="120" w:after="0"/>
        <w:ind w:left="567" w:hanging="567"/>
        <w:rPr>
          <w:sz w:val="24"/>
          <w:szCs w:val="24"/>
          <w:lang w:val="en-US"/>
        </w:rPr>
      </w:pPr>
      <w:r w:rsidRPr="007C0154">
        <w:rPr>
          <w:sz w:val="24"/>
          <w:szCs w:val="24"/>
          <w:lang w:val="en-US" w:eastAsia="el-GR"/>
        </w:rPr>
        <w:t>This Annex shall be periodically reviewed pursuant to paragraph 5 of Article 68 of the HAR.</w:t>
      </w:r>
    </w:p>
    <w:p w14:paraId="69A83604" w14:textId="77777777" w:rsidR="00491823" w:rsidRPr="00F46C18" w:rsidRDefault="00491823" w:rsidP="007C0154">
      <w:pPr>
        <w:shd w:val="clear" w:color="auto" w:fill="FFFFFF"/>
        <w:jc w:val="both"/>
        <w:rPr>
          <w:rFonts w:ascii="Calibri" w:hAnsi="Calibri" w:cs="Calibri"/>
          <w:sz w:val="24"/>
          <w:szCs w:val="24"/>
          <w:lang w:val="en-US"/>
        </w:rPr>
      </w:pPr>
    </w:p>
    <w:sectPr w:rsidR="00491823" w:rsidRPr="00F46C18" w:rsidSect="006878EC">
      <w:headerReference w:type="default" r:id="rId8"/>
      <w:footerReference w:type="default" r:id="rId9"/>
      <w:footerReference w:type="first" r:id="rId10"/>
      <w:pgSz w:w="12240" w:h="15840"/>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A988A6" w15:done="0"/>
  <w15:commentEx w15:paraId="21FF7FAD" w15:paraIdParent="5EA988A6" w15:done="0"/>
  <w15:commentEx w15:paraId="0394FE86" w15:done="0"/>
  <w15:commentEx w15:paraId="0F20A495" w15:paraIdParent="0394FE86" w15:done="0"/>
  <w15:commentEx w15:paraId="63934CB3" w15:done="0"/>
  <w15:commentEx w15:paraId="44D3C33B" w15:paraIdParent="63934CB3" w15:done="0"/>
  <w15:commentEx w15:paraId="3ADAFE22" w15:done="0"/>
  <w15:commentEx w15:paraId="4C8FF33E" w15:done="0"/>
  <w15:commentEx w15:paraId="44F4034D" w15:done="0"/>
  <w15:commentEx w15:paraId="6CF63D72" w15:paraIdParent="44F403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A988A6" w16cid:durableId="20E55FB8"/>
  <w16cid:commentId w16cid:paraId="0394FE86" w16cid:durableId="20E970B3"/>
  <w16cid:commentId w16cid:paraId="63934CB3" w16cid:durableId="20E55FBA"/>
  <w16cid:commentId w16cid:paraId="3ADAFE22" w16cid:durableId="20E55FBC"/>
  <w16cid:commentId w16cid:paraId="4C8FF33E" w16cid:durableId="20E55FBE"/>
  <w16cid:commentId w16cid:paraId="44F4034D" w16cid:durableId="20E972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32177" w14:textId="77777777" w:rsidR="00841852" w:rsidRDefault="00841852" w:rsidP="00B04144">
      <w:r>
        <w:separator/>
      </w:r>
    </w:p>
  </w:endnote>
  <w:endnote w:type="continuationSeparator" w:id="0">
    <w:p w14:paraId="56E7D9D1" w14:textId="77777777" w:rsidR="00841852" w:rsidRDefault="00841852" w:rsidP="00B04144">
      <w:r>
        <w:continuationSeparator/>
      </w:r>
    </w:p>
  </w:endnote>
  <w:endnote w:type="continuationNotice" w:id="1">
    <w:p w14:paraId="58519FCE" w14:textId="77777777" w:rsidR="00841852" w:rsidRDefault="00841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362" w:tblpY="16132"/>
      <w:tblW w:w="0" w:type="auto"/>
      <w:tblLayout w:type="fixed"/>
      <w:tblCellMar>
        <w:left w:w="0" w:type="dxa"/>
        <w:right w:w="0" w:type="dxa"/>
      </w:tblCellMar>
      <w:tblLook w:val="00A0" w:firstRow="1" w:lastRow="0" w:firstColumn="1" w:lastColumn="0" w:noHBand="0" w:noVBand="0"/>
    </w:tblPr>
    <w:tblGrid>
      <w:gridCol w:w="9923"/>
    </w:tblGrid>
    <w:tr w:rsidR="00491823" w:rsidRPr="008C7BD4" w14:paraId="09AFEBA5" w14:textId="77777777">
      <w:trPr>
        <w:trHeight w:hRule="exact" w:val="284"/>
      </w:trPr>
      <w:tc>
        <w:tcPr>
          <w:tcW w:w="9923" w:type="dxa"/>
          <w:vAlign w:val="center"/>
        </w:tcPr>
        <w:p w14:paraId="6A63974A" w14:textId="77777777" w:rsidR="00491823" w:rsidRPr="008C7BD4" w:rsidRDefault="00491823" w:rsidP="008C7BD4">
          <w:pPr>
            <w:pStyle w:val="Footer"/>
            <w:rPr>
              <w:rFonts w:ascii="Arial" w:hAnsi="Arial" w:cs="Arial"/>
              <w:sz w:val="14"/>
              <w:szCs w:val="14"/>
              <w:lang w:val="de-DE"/>
            </w:rPr>
          </w:pPr>
        </w:p>
      </w:tc>
    </w:tr>
  </w:tbl>
  <w:tbl>
    <w:tblPr>
      <w:tblpPr w:leftFromText="142" w:rightFromText="142" w:vertAnchor="page" w:horzAnchor="page" w:tblpX="10661" w:tblpY="15707"/>
      <w:tblW w:w="0" w:type="auto"/>
      <w:tblLayout w:type="fixed"/>
      <w:tblCellMar>
        <w:left w:w="0" w:type="dxa"/>
        <w:right w:w="0" w:type="dxa"/>
      </w:tblCellMar>
      <w:tblLook w:val="00A0" w:firstRow="1" w:lastRow="0" w:firstColumn="1" w:lastColumn="0" w:noHBand="0" w:noVBand="0"/>
    </w:tblPr>
    <w:tblGrid>
      <w:gridCol w:w="624"/>
    </w:tblGrid>
    <w:tr w:rsidR="00491823" w:rsidRPr="008C7BD4" w14:paraId="57764B8D" w14:textId="77777777">
      <w:trPr>
        <w:trHeight w:hRule="exact" w:val="284"/>
      </w:trPr>
      <w:tc>
        <w:tcPr>
          <w:tcW w:w="624" w:type="dxa"/>
        </w:tcPr>
        <w:p w14:paraId="3CEFD2C9" w14:textId="66770800" w:rsidR="00491823" w:rsidRPr="008C7BD4" w:rsidRDefault="00A40B92" w:rsidP="008C7BD4">
          <w:pPr>
            <w:pStyle w:val="Footer"/>
            <w:jc w:val="right"/>
          </w:pPr>
          <w:r>
            <w:fldChar w:fldCharType="begin"/>
          </w:r>
          <w:r>
            <w:instrText xml:space="preserve"> PAGE   \* MERGEFORMAT </w:instrText>
          </w:r>
          <w:r>
            <w:fldChar w:fldCharType="separate"/>
          </w:r>
          <w:r w:rsidR="008D1B0C">
            <w:rPr>
              <w:noProof/>
            </w:rPr>
            <w:t>5</w:t>
          </w:r>
          <w:r>
            <w:rPr>
              <w:noProof/>
            </w:rPr>
            <w:fldChar w:fldCharType="end"/>
          </w:r>
        </w:p>
      </w:tc>
    </w:tr>
  </w:tbl>
  <w:p w14:paraId="703D3497" w14:textId="77777777" w:rsidR="00491823" w:rsidRPr="003D0965" w:rsidRDefault="00491823" w:rsidP="003D0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horzAnchor="page" w:tblpX="1362" w:tblpY="16132"/>
      <w:tblW w:w="0" w:type="auto"/>
      <w:tblLayout w:type="fixed"/>
      <w:tblCellMar>
        <w:left w:w="0" w:type="dxa"/>
        <w:right w:w="0" w:type="dxa"/>
      </w:tblCellMar>
      <w:tblLook w:val="00A0" w:firstRow="1" w:lastRow="0" w:firstColumn="1" w:lastColumn="0" w:noHBand="0" w:noVBand="0"/>
    </w:tblPr>
    <w:tblGrid>
      <w:gridCol w:w="9923"/>
    </w:tblGrid>
    <w:tr w:rsidR="00491823" w:rsidRPr="008C7BD4" w14:paraId="072BDF0F" w14:textId="77777777">
      <w:trPr>
        <w:trHeight w:hRule="exact" w:val="284"/>
      </w:trPr>
      <w:tc>
        <w:tcPr>
          <w:tcW w:w="9923" w:type="dxa"/>
          <w:vAlign w:val="center"/>
        </w:tcPr>
        <w:p w14:paraId="59A0C17E" w14:textId="77777777" w:rsidR="00491823" w:rsidRPr="008C7BD4" w:rsidRDefault="00491823" w:rsidP="008C7BD4">
          <w:pPr>
            <w:pStyle w:val="Footer"/>
            <w:rPr>
              <w:rFonts w:ascii="Arial" w:hAnsi="Arial" w:cs="Arial"/>
              <w:sz w:val="14"/>
              <w:szCs w:val="14"/>
              <w:lang w:val="fr-FR"/>
            </w:rPr>
          </w:pPr>
        </w:p>
      </w:tc>
    </w:tr>
  </w:tbl>
  <w:p w14:paraId="39190596" w14:textId="77777777" w:rsidR="00491823" w:rsidRDefault="00491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53934" w14:textId="77777777" w:rsidR="00841852" w:rsidRDefault="00841852" w:rsidP="00B04144">
      <w:r>
        <w:separator/>
      </w:r>
    </w:p>
  </w:footnote>
  <w:footnote w:type="continuationSeparator" w:id="0">
    <w:p w14:paraId="0D0BC5F5" w14:textId="77777777" w:rsidR="00841852" w:rsidRDefault="00841852" w:rsidP="00B04144">
      <w:r>
        <w:continuationSeparator/>
      </w:r>
    </w:p>
  </w:footnote>
  <w:footnote w:type="continuationNotice" w:id="1">
    <w:p w14:paraId="3BBCAC83" w14:textId="77777777" w:rsidR="00841852" w:rsidRDefault="008418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A9389" w14:textId="722112D2" w:rsidR="006878EC" w:rsidRDefault="006878EC" w:rsidP="006878EC">
    <w:pPr>
      <w:pStyle w:val="Header"/>
      <w:jc w:val="both"/>
    </w:pPr>
    <w:r>
      <w:t xml:space="preserve">Regional Specific Annex for SEE </w:t>
    </w:r>
    <w:r w:rsidR="006E6C17">
      <w:t xml:space="preserve">CCR </w:t>
    </w:r>
    <w:r>
      <w:t>to the Harmonized Allocation Rules for long-term transmission rights in accordance with Article 52 of Commission Regulation (EU) 2016/1719 of 26 September 2016 establishing a Guideline on Forward Capacity Allocation</w:t>
    </w:r>
  </w:p>
  <w:p w14:paraId="63E9B171" w14:textId="1390452D" w:rsidR="00491823" w:rsidRDefault="00491823" w:rsidP="003D0965">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E47"/>
    <w:multiLevelType w:val="hybridMultilevel"/>
    <w:tmpl w:val="01BE50C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nsid w:val="267B66E9"/>
    <w:multiLevelType w:val="multilevel"/>
    <w:tmpl w:val="169CC5E8"/>
    <w:styleLink w:val="XXXtextbullets"/>
    <w:lvl w:ilvl="0">
      <w:start w:val="1"/>
      <w:numFmt w:val="bullet"/>
      <w:pStyle w:val="textbullets"/>
      <w:lvlText w:val="‒"/>
      <w:lvlJc w:val="left"/>
      <w:pPr>
        <w:ind w:left="397" w:hanging="397"/>
      </w:pPr>
      <w:rPr>
        <w:rFonts w:ascii="Calibri" w:hAnsi="Calibri" w:cs="Calibri" w:hint="default"/>
        <w:color w:val="auto"/>
      </w:rPr>
    </w:lvl>
    <w:lvl w:ilvl="1">
      <w:start w:val="1"/>
      <w:numFmt w:val="bullet"/>
      <w:lvlText w:val="‒"/>
      <w:lvlJc w:val="left"/>
      <w:pPr>
        <w:ind w:left="794" w:hanging="397"/>
      </w:pPr>
      <w:rPr>
        <w:rFonts w:ascii="Calibri" w:hAnsi="Calibri" w:cs="Calibri" w:hint="default"/>
        <w:color w:val="auto"/>
      </w:rPr>
    </w:lvl>
    <w:lvl w:ilvl="2">
      <w:start w:val="1"/>
      <w:numFmt w:val="bullet"/>
      <w:lvlText w:val="‒"/>
      <w:lvlJc w:val="left"/>
      <w:pPr>
        <w:ind w:left="1191" w:hanging="397"/>
      </w:pPr>
      <w:rPr>
        <w:rFonts w:ascii="Calibri" w:hAnsi="Calibri" w:cs="Calibri" w:hint="default"/>
        <w:color w:val="auto"/>
      </w:rPr>
    </w:lvl>
    <w:lvl w:ilvl="3">
      <w:start w:val="1"/>
      <w:numFmt w:val="bullet"/>
      <w:lvlText w:val="‒"/>
      <w:lvlJc w:val="left"/>
      <w:pPr>
        <w:ind w:left="1588" w:hanging="397"/>
      </w:pPr>
      <w:rPr>
        <w:rFonts w:ascii="Calibri" w:hAnsi="Calibri" w:cs="Calibri" w:hint="default"/>
        <w:color w:val="auto"/>
      </w:rPr>
    </w:lvl>
    <w:lvl w:ilvl="4">
      <w:start w:val="1"/>
      <w:numFmt w:val="bullet"/>
      <w:lvlText w:val="‒"/>
      <w:lvlJc w:val="left"/>
      <w:pPr>
        <w:ind w:left="1985" w:hanging="397"/>
      </w:pPr>
      <w:rPr>
        <w:rFonts w:ascii="Calibri" w:hAnsi="Calibri" w:cs="Calibri" w:hint="default"/>
        <w:color w:val="auto"/>
      </w:rPr>
    </w:lvl>
    <w:lvl w:ilvl="5">
      <w:start w:val="1"/>
      <w:numFmt w:val="bullet"/>
      <w:lvlText w:val="‒"/>
      <w:lvlJc w:val="left"/>
      <w:pPr>
        <w:ind w:left="2325" w:hanging="340"/>
      </w:pPr>
      <w:rPr>
        <w:rFonts w:ascii="Calibri" w:hAnsi="Calibri" w:cs="Calibri" w:hint="default"/>
        <w:color w:val="auto"/>
      </w:rPr>
    </w:lvl>
    <w:lvl w:ilvl="6">
      <w:start w:val="1"/>
      <w:numFmt w:val="bullet"/>
      <w:lvlText w:val="‒"/>
      <w:lvlJc w:val="left"/>
      <w:pPr>
        <w:ind w:left="2722" w:hanging="397"/>
      </w:pPr>
      <w:rPr>
        <w:rFonts w:ascii="Calibri" w:hAnsi="Calibri" w:cs="Calibri" w:hint="default"/>
        <w:color w:val="auto"/>
      </w:rPr>
    </w:lvl>
    <w:lvl w:ilvl="7">
      <w:start w:val="1"/>
      <w:numFmt w:val="bullet"/>
      <w:lvlText w:val="‒"/>
      <w:lvlJc w:val="left"/>
      <w:pPr>
        <w:ind w:left="3119" w:hanging="397"/>
      </w:pPr>
      <w:rPr>
        <w:rFonts w:ascii="Calibri" w:hAnsi="Calibri" w:cs="Calibri" w:hint="default"/>
        <w:color w:val="auto"/>
      </w:rPr>
    </w:lvl>
    <w:lvl w:ilvl="8">
      <w:start w:val="1"/>
      <w:numFmt w:val="bullet"/>
      <w:lvlText w:val="‒"/>
      <w:lvlJc w:val="left"/>
      <w:pPr>
        <w:ind w:left="3459" w:hanging="340"/>
      </w:pPr>
      <w:rPr>
        <w:rFonts w:ascii="Calibri" w:hAnsi="Calibri" w:cs="Calibri" w:hint="default"/>
        <w:color w:val="auto"/>
      </w:rPr>
    </w:lvl>
  </w:abstractNum>
  <w:abstractNum w:abstractNumId="2">
    <w:nsid w:val="3FA27915"/>
    <w:multiLevelType w:val="hybridMultilevel"/>
    <w:tmpl w:val="C548D89E"/>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439320E5"/>
    <w:multiLevelType w:val="hybridMultilevel"/>
    <w:tmpl w:val="486CD31E"/>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4">
    <w:nsid w:val="45AF17FA"/>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cs="Times New Roman" w:hint="default"/>
        <w:sz w:val="22"/>
        <w:szCs w:val="22"/>
      </w:rPr>
    </w:lvl>
    <w:lvl w:ilvl="1">
      <w:start w:val="1"/>
      <w:numFmt w:val="none"/>
      <w:lvlText w:val=""/>
      <w:lvlJc w:val="left"/>
      <w:rPr>
        <w:rFonts w:hint="default"/>
      </w:rPr>
    </w:lvl>
    <w:lvl w:ilvl="2">
      <w:start w:val="1"/>
      <w:numFmt w:val="none"/>
      <w:lvlText w:val=""/>
      <w:lvlJc w:val="left"/>
      <w:rPr>
        <w:rFonts w:hint="default"/>
      </w:rPr>
    </w:lvl>
    <w:lvl w:ilvl="3">
      <w:start w:val="1"/>
      <w:numFmt w:val="none"/>
      <w:lvlText w:val=""/>
      <w:lvlJc w:val="left"/>
      <w:rPr>
        <w:rFonts w:hint="default"/>
      </w:rPr>
    </w:lvl>
    <w:lvl w:ilvl="4">
      <w:start w:val="1"/>
      <w:numFmt w:val="none"/>
      <w:lvlText w:val=""/>
      <w:lvlJc w:val="left"/>
      <w:rPr>
        <w:rFonts w:hint="default"/>
      </w:rPr>
    </w:lvl>
    <w:lvl w:ilvl="5">
      <w:start w:val="1"/>
      <w:numFmt w:val="none"/>
      <w:lvlText w:val=""/>
      <w:lvlJc w:val="left"/>
      <w:rPr>
        <w:rFonts w:hint="default"/>
      </w:rPr>
    </w:lvl>
    <w:lvl w:ilvl="6">
      <w:start w:val="1"/>
      <w:numFmt w:val="none"/>
      <w:lvlText w:val=""/>
      <w:lvlJc w:val="left"/>
      <w:rPr>
        <w:rFonts w:hint="default"/>
      </w:rPr>
    </w:lvl>
    <w:lvl w:ilvl="7">
      <w:start w:val="1"/>
      <w:numFmt w:val="none"/>
      <w:lvlText w:val=""/>
      <w:lvlJc w:val="left"/>
      <w:rPr>
        <w:rFonts w:hint="default"/>
      </w:rPr>
    </w:lvl>
    <w:lvl w:ilvl="8">
      <w:start w:val="1"/>
      <w:numFmt w:val="none"/>
      <w:lvlText w:val=""/>
      <w:lvlJc w:val="left"/>
      <w:rPr>
        <w:rFonts w:hint="default"/>
      </w:rPr>
    </w:lvl>
  </w:abstractNum>
  <w:abstractNum w:abstractNumId="6">
    <w:nsid w:val="51C07BA6"/>
    <w:multiLevelType w:val="hybridMultilevel"/>
    <w:tmpl w:val="61266CE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5D4A3354"/>
    <w:multiLevelType w:val="multilevel"/>
    <w:tmpl w:val="0809001F"/>
    <w:styleLink w:val="XXXList"/>
    <w:lvl w:ilvl="0">
      <w:start w:val="1"/>
      <w:numFmt w:val="decimal"/>
      <w:lvlText w:val="%1."/>
      <w:lvlJc w:val="left"/>
      <w:pPr>
        <w:ind w:left="360" w:hanging="360"/>
      </w:pPr>
      <w:rPr>
        <w:rFonts w:hint="default"/>
        <w:b/>
        <w:bCs/>
        <w:i w:val="0"/>
        <w:iCs w:val="0"/>
        <w:color w:val="23236E"/>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bCs/>
        <w:i w:val="0"/>
        <w:iCs w:val="0"/>
        <w:color w:val="23236E"/>
        <w:sz w:val="28"/>
        <w:szCs w:val="28"/>
      </w:rPr>
    </w:lvl>
  </w:abstractNum>
  <w:abstractNum w:abstractNumId="8">
    <w:nsid w:val="5EF63C7D"/>
    <w:multiLevelType w:val="multilevel"/>
    <w:tmpl w:val="F9A00892"/>
    <w:styleLink w:val="XXXBulletList"/>
    <w:lvl w:ilvl="0">
      <w:start w:val="1"/>
      <w:numFmt w:val="bullet"/>
      <w:pStyle w:val="decisionbullet1"/>
      <w:lvlText w:val="‒"/>
      <w:lvlJc w:val="left"/>
      <w:pPr>
        <w:ind w:left="357" w:hanging="357"/>
      </w:pPr>
      <w:rPr>
        <w:rFonts w:ascii="Calibri" w:hAnsi="Calibri" w:cs="Calibri" w:hint="default"/>
        <w:color w:val="auto"/>
        <w:sz w:val="22"/>
        <w:szCs w:val="22"/>
      </w:rPr>
    </w:lvl>
    <w:lvl w:ilvl="1">
      <w:start w:val="1"/>
      <w:numFmt w:val="bullet"/>
      <w:pStyle w:val="decisionbullet2"/>
      <w:lvlText w:val="‒"/>
      <w:lvlJc w:val="left"/>
      <w:pPr>
        <w:ind w:left="374" w:hanging="17"/>
      </w:pPr>
      <w:rPr>
        <w:rFonts w:ascii="Times New Roman" w:hAnsi="Times New Roman" w:cs="Times New Roman" w:hint="default"/>
        <w:color w:val="auto"/>
        <w:sz w:val="22"/>
        <w:szCs w:val="22"/>
      </w:rPr>
    </w:lvl>
    <w:lvl w:ilvl="2">
      <w:start w:val="1"/>
      <w:numFmt w:val="none"/>
      <w:lvlText w:val=""/>
      <w:lvlJc w:val="left"/>
      <w:rPr>
        <w:rFonts w:hint="default"/>
      </w:rPr>
    </w:lvl>
    <w:lvl w:ilvl="3">
      <w:start w:val="1"/>
      <w:numFmt w:val="none"/>
      <w:lvlText w:val=""/>
      <w:lvlJc w:val="left"/>
      <w:rPr>
        <w:rFonts w:hint="default"/>
      </w:rPr>
    </w:lvl>
    <w:lvl w:ilvl="4">
      <w:start w:val="1"/>
      <w:numFmt w:val="none"/>
      <w:lvlText w:val=""/>
      <w:lvlJc w:val="left"/>
      <w:rPr>
        <w:rFonts w:hint="default"/>
      </w:rPr>
    </w:lvl>
    <w:lvl w:ilvl="5">
      <w:start w:val="1"/>
      <w:numFmt w:val="none"/>
      <w:lvlText w:val=""/>
      <w:lvlJc w:val="left"/>
      <w:rPr>
        <w:rFonts w:hint="default"/>
      </w:rPr>
    </w:lvl>
    <w:lvl w:ilvl="6">
      <w:start w:val="1"/>
      <w:numFmt w:val="none"/>
      <w:lvlText w:val=""/>
      <w:lvlJc w:val="left"/>
      <w:rPr>
        <w:rFonts w:hint="default"/>
      </w:rPr>
    </w:lvl>
    <w:lvl w:ilvl="7">
      <w:start w:val="1"/>
      <w:numFmt w:val="none"/>
      <w:lvlText w:val=""/>
      <w:lvlJc w:val="left"/>
      <w:rPr>
        <w:rFonts w:hint="default"/>
      </w:rPr>
    </w:lvl>
    <w:lvl w:ilvl="8">
      <w:start w:val="1"/>
      <w:numFmt w:val="none"/>
      <w:lvlText w:val=""/>
      <w:lvlJc w:val="left"/>
      <w:rPr>
        <w:rFonts w:hint="default"/>
      </w:rPr>
    </w:lvl>
  </w:abstractNum>
  <w:abstractNum w:abstractNumId="9">
    <w:nsid w:val="6116554D"/>
    <w:multiLevelType w:val="hybridMultilevel"/>
    <w:tmpl w:val="B746A326"/>
    <w:lvl w:ilvl="0" w:tplc="AF781C04">
      <w:start w:val="1"/>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E2A0257"/>
    <w:multiLevelType w:val="hybridMultilevel"/>
    <w:tmpl w:val="38822100"/>
    <w:lvl w:ilvl="0" w:tplc="15688E94">
      <w:start w:val="1"/>
      <w:numFmt w:val="decimal"/>
      <w:lvlText w:val="%1."/>
      <w:lvlJc w:val="left"/>
      <w:pPr>
        <w:ind w:left="1211" w:hanging="360"/>
      </w:pPr>
      <w:rPr>
        <w:rFonts w:hint="default"/>
      </w:rPr>
    </w:lvl>
    <w:lvl w:ilvl="1" w:tplc="04090019">
      <w:start w:val="1"/>
      <w:numFmt w:val="lowerLetter"/>
      <w:lvlText w:val="%2."/>
      <w:lvlJc w:val="left"/>
      <w:pPr>
        <w:ind w:left="1800" w:hanging="360"/>
      </w:pPr>
    </w:lvl>
    <w:lvl w:ilvl="2" w:tplc="14EE4BA4">
      <w:numFmt w:val="bullet"/>
      <w:lvlText w:val="-"/>
      <w:lvlJc w:val="left"/>
      <w:pPr>
        <w:ind w:left="2700" w:hanging="360"/>
      </w:pPr>
      <w:rPr>
        <w:rFonts w:ascii="Calibri" w:eastAsia="Times New Roman" w:hAnsi="Calibri"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7"/>
  </w:num>
  <w:num w:numId="2">
    <w:abstractNumId w:val="8"/>
  </w:num>
  <w:num w:numId="3">
    <w:abstractNumId w:val="5"/>
  </w:num>
  <w:num w:numId="4">
    <w:abstractNumId w:val="1"/>
  </w:num>
  <w:num w:numId="5">
    <w:abstractNumId w:val="9"/>
  </w:num>
  <w:num w:numId="6">
    <w:abstractNumId w:val="10"/>
  </w:num>
  <w:num w:numId="7">
    <w:abstractNumId w:val="10"/>
    <w:lvlOverride w:ilvl="0">
      <w:startOverride w:val="1"/>
    </w:lvlOverride>
  </w:num>
  <w:num w:numId="8">
    <w:abstractNumId w:val="2"/>
  </w:num>
  <w:num w:numId="9">
    <w:abstractNumId w:val="6"/>
  </w:num>
  <w:num w:numId="10">
    <w:abstractNumId w:val="3"/>
  </w:num>
  <w:num w:numId="11">
    <w:abstractNumId w:val="0"/>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71"/>
    <w:rsid w:val="000003C2"/>
    <w:rsid w:val="0000040E"/>
    <w:rsid w:val="00000772"/>
    <w:rsid w:val="00001811"/>
    <w:rsid w:val="00004BE4"/>
    <w:rsid w:val="000059C4"/>
    <w:rsid w:val="00006456"/>
    <w:rsid w:val="00006FA9"/>
    <w:rsid w:val="000079D9"/>
    <w:rsid w:val="000118B0"/>
    <w:rsid w:val="00013390"/>
    <w:rsid w:val="00013801"/>
    <w:rsid w:val="00016057"/>
    <w:rsid w:val="00016AA1"/>
    <w:rsid w:val="00024AF8"/>
    <w:rsid w:val="00027F78"/>
    <w:rsid w:val="00030761"/>
    <w:rsid w:val="000330BD"/>
    <w:rsid w:val="00033829"/>
    <w:rsid w:val="000354BD"/>
    <w:rsid w:val="000408A9"/>
    <w:rsid w:val="00041A35"/>
    <w:rsid w:val="00043039"/>
    <w:rsid w:val="00045DEF"/>
    <w:rsid w:val="00046913"/>
    <w:rsid w:val="00046D0D"/>
    <w:rsid w:val="0004706E"/>
    <w:rsid w:val="00050760"/>
    <w:rsid w:val="000579F0"/>
    <w:rsid w:val="00057A0D"/>
    <w:rsid w:val="0006074F"/>
    <w:rsid w:val="00060C6B"/>
    <w:rsid w:val="00060FBC"/>
    <w:rsid w:val="0006467A"/>
    <w:rsid w:val="00064BB1"/>
    <w:rsid w:val="00066622"/>
    <w:rsid w:val="000724D8"/>
    <w:rsid w:val="00072DA4"/>
    <w:rsid w:val="000731A9"/>
    <w:rsid w:val="00075E57"/>
    <w:rsid w:val="000765AD"/>
    <w:rsid w:val="00084EBE"/>
    <w:rsid w:val="00085DA9"/>
    <w:rsid w:val="00087DB7"/>
    <w:rsid w:val="00095B30"/>
    <w:rsid w:val="000961F8"/>
    <w:rsid w:val="0009770C"/>
    <w:rsid w:val="000A0D42"/>
    <w:rsid w:val="000A1744"/>
    <w:rsid w:val="000A3146"/>
    <w:rsid w:val="000A40BE"/>
    <w:rsid w:val="000A601E"/>
    <w:rsid w:val="000A652F"/>
    <w:rsid w:val="000B02F1"/>
    <w:rsid w:val="000B203F"/>
    <w:rsid w:val="000B21E5"/>
    <w:rsid w:val="000B3632"/>
    <w:rsid w:val="000B3A3D"/>
    <w:rsid w:val="000C0BCE"/>
    <w:rsid w:val="000C5B6A"/>
    <w:rsid w:val="000C7181"/>
    <w:rsid w:val="000D019A"/>
    <w:rsid w:val="000D1B45"/>
    <w:rsid w:val="000D2CC6"/>
    <w:rsid w:val="000D341E"/>
    <w:rsid w:val="000D6D21"/>
    <w:rsid w:val="000E00F1"/>
    <w:rsid w:val="000E1A86"/>
    <w:rsid w:val="000E1BB6"/>
    <w:rsid w:val="000E25E1"/>
    <w:rsid w:val="000E32FA"/>
    <w:rsid w:val="000E4A77"/>
    <w:rsid w:val="000F0B1D"/>
    <w:rsid w:val="000F3B06"/>
    <w:rsid w:val="000F54C1"/>
    <w:rsid w:val="000F59C3"/>
    <w:rsid w:val="000F674C"/>
    <w:rsid w:val="000F685D"/>
    <w:rsid w:val="000F693C"/>
    <w:rsid w:val="00102B76"/>
    <w:rsid w:val="00103314"/>
    <w:rsid w:val="0010377D"/>
    <w:rsid w:val="0010498A"/>
    <w:rsid w:val="00105577"/>
    <w:rsid w:val="001066E4"/>
    <w:rsid w:val="00107374"/>
    <w:rsid w:val="00110460"/>
    <w:rsid w:val="00110FC1"/>
    <w:rsid w:val="00111642"/>
    <w:rsid w:val="00111DF2"/>
    <w:rsid w:val="00112D3B"/>
    <w:rsid w:val="001143DF"/>
    <w:rsid w:val="0011491D"/>
    <w:rsid w:val="00114BDA"/>
    <w:rsid w:val="001206D4"/>
    <w:rsid w:val="00120EEC"/>
    <w:rsid w:val="0012174D"/>
    <w:rsid w:val="00124745"/>
    <w:rsid w:val="00126B18"/>
    <w:rsid w:val="00127D1A"/>
    <w:rsid w:val="001347A8"/>
    <w:rsid w:val="00136D9F"/>
    <w:rsid w:val="00140291"/>
    <w:rsid w:val="00142363"/>
    <w:rsid w:val="00143E63"/>
    <w:rsid w:val="00143F91"/>
    <w:rsid w:val="00147626"/>
    <w:rsid w:val="00147BED"/>
    <w:rsid w:val="00150A3A"/>
    <w:rsid w:val="00150B72"/>
    <w:rsid w:val="00152CAE"/>
    <w:rsid w:val="00156CDC"/>
    <w:rsid w:val="00160131"/>
    <w:rsid w:val="00161070"/>
    <w:rsid w:val="00161366"/>
    <w:rsid w:val="00162B68"/>
    <w:rsid w:val="00163012"/>
    <w:rsid w:val="00163422"/>
    <w:rsid w:val="0016641C"/>
    <w:rsid w:val="0017303B"/>
    <w:rsid w:val="00174315"/>
    <w:rsid w:val="00174C39"/>
    <w:rsid w:val="00175F82"/>
    <w:rsid w:val="00176536"/>
    <w:rsid w:val="001765F5"/>
    <w:rsid w:val="0018041D"/>
    <w:rsid w:val="00181888"/>
    <w:rsid w:val="0018540A"/>
    <w:rsid w:val="0018585D"/>
    <w:rsid w:val="00190F85"/>
    <w:rsid w:val="00193051"/>
    <w:rsid w:val="00194DBE"/>
    <w:rsid w:val="0019547A"/>
    <w:rsid w:val="001956CA"/>
    <w:rsid w:val="001A0FF4"/>
    <w:rsid w:val="001A1990"/>
    <w:rsid w:val="001A2075"/>
    <w:rsid w:val="001A29FC"/>
    <w:rsid w:val="001A3B31"/>
    <w:rsid w:val="001A42D7"/>
    <w:rsid w:val="001A55A2"/>
    <w:rsid w:val="001A7031"/>
    <w:rsid w:val="001A76E9"/>
    <w:rsid w:val="001B10B3"/>
    <w:rsid w:val="001B298E"/>
    <w:rsid w:val="001B3D67"/>
    <w:rsid w:val="001B6ACF"/>
    <w:rsid w:val="001B7E06"/>
    <w:rsid w:val="001C0F8F"/>
    <w:rsid w:val="001C1AF0"/>
    <w:rsid w:val="001C42E0"/>
    <w:rsid w:val="001C4F2E"/>
    <w:rsid w:val="001D19A7"/>
    <w:rsid w:val="001D3462"/>
    <w:rsid w:val="001D41D8"/>
    <w:rsid w:val="001D41FD"/>
    <w:rsid w:val="001D5DA3"/>
    <w:rsid w:val="001D733B"/>
    <w:rsid w:val="001E0116"/>
    <w:rsid w:val="001E2016"/>
    <w:rsid w:val="001E21E3"/>
    <w:rsid w:val="001E2776"/>
    <w:rsid w:val="001E4021"/>
    <w:rsid w:val="001E46EC"/>
    <w:rsid w:val="001E6525"/>
    <w:rsid w:val="001E6C3A"/>
    <w:rsid w:val="001E792D"/>
    <w:rsid w:val="001E7F0F"/>
    <w:rsid w:val="001F09FA"/>
    <w:rsid w:val="001F0F4E"/>
    <w:rsid w:val="001F36D6"/>
    <w:rsid w:val="001F69B5"/>
    <w:rsid w:val="00206D90"/>
    <w:rsid w:val="002107C2"/>
    <w:rsid w:val="0021474E"/>
    <w:rsid w:val="002228BD"/>
    <w:rsid w:val="00224DC2"/>
    <w:rsid w:val="00225010"/>
    <w:rsid w:val="002309D3"/>
    <w:rsid w:val="002312AC"/>
    <w:rsid w:val="002341CF"/>
    <w:rsid w:val="00236627"/>
    <w:rsid w:val="00236C4B"/>
    <w:rsid w:val="0024169C"/>
    <w:rsid w:val="002417A3"/>
    <w:rsid w:val="002433F5"/>
    <w:rsid w:val="0024495E"/>
    <w:rsid w:val="0024660C"/>
    <w:rsid w:val="00247DBB"/>
    <w:rsid w:val="002542E9"/>
    <w:rsid w:val="00254E78"/>
    <w:rsid w:val="0025665E"/>
    <w:rsid w:val="00256DF0"/>
    <w:rsid w:val="00260AEB"/>
    <w:rsid w:val="002613D9"/>
    <w:rsid w:val="00267BD7"/>
    <w:rsid w:val="00270373"/>
    <w:rsid w:val="00270823"/>
    <w:rsid w:val="0027115B"/>
    <w:rsid w:val="00272786"/>
    <w:rsid w:val="002732D5"/>
    <w:rsid w:val="0027786A"/>
    <w:rsid w:val="00277AA5"/>
    <w:rsid w:val="0028125C"/>
    <w:rsid w:val="00282151"/>
    <w:rsid w:val="002856BC"/>
    <w:rsid w:val="00285B00"/>
    <w:rsid w:val="00285C19"/>
    <w:rsid w:val="00290A52"/>
    <w:rsid w:val="0029256D"/>
    <w:rsid w:val="002933C1"/>
    <w:rsid w:val="002947EA"/>
    <w:rsid w:val="002950FF"/>
    <w:rsid w:val="002A0B08"/>
    <w:rsid w:val="002A1E40"/>
    <w:rsid w:val="002A4168"/>
    <w:rsid w:val="002B272C"/>
    <w:rsid w:val="002B2DB1"/>
    <w:rsid w:val="002B3B7B"/>
    <w:rsid w:val="002C668E"/>
    <w:rsid w:val="002D0803"/>
    <w:rsid w:val="002D140D"/>
    <w:rsid w:val="002D2455"/>
    <w:rsid w:val="002D2872"/>
    <w:rsid w:val="002D2E12"/>
    <w:rsid w:val="002D322B"/>
    <w:rsid w:val="002D47C5"/>
    <w:rsid w:val="002D499D"/>
    <w:rsid w:val="002E3273"/>
    <w:rsid w:val="002E44CD"/>
    <w:rsid w:val="002E470A"/>
    <w:rsid w:val="002E752A"/>
    <w:rsid w:val="002F1147"/>
    <w:rsid w:val="002F1DFF"/>
    <w:rsid w:val="002F1F41"/>
    <w:rsid w:val="002F20F9"/>
    <w:rsid w:val="002F32A9"/>
    <w:rsid w:val="002F5A24"/>
    <w:rsid w:val="002F5EFD"/>
    <w:rsid w:val="002F6842"/>
    <w:rsid w:val="003000B2"/>
    <w:rsid w:val="00301DC5"/>
    <w:rsid w:val="003025D1"/>
    <w:rsid w:val="003049B1"/>
    <w:rsid w:val="00311CBC"/>
    <w:rsid w:val="00311E4E"/>
    <w:rsid w:val="003234FA"/>
    <w:rsid w:val="00325086"/>
    <w:rsid w:val="00330365"/>
    <w:rsid w:val="003314D0"/>
    <w:rsid w:val="00332CC9"/>
    <w:rsid w:val="00341096"/>
    <w:rsid w:val="003444FB"/>
    <w:rsid w:val="00344C99"/>
    <w:rsid w:val="0034587A"/>
    <w:rsid w:val="00347B71"/>
    <w:rsid w:val="00352E0A"/>
    <w:rsid w:val="00355D73"/>
    <w:rsid w:val="003567B8"/>
    <w:rsid w:val="0035703A"/>
    <w:rsid w:val="003616D4"/>
    <w:rsid w:val="003619E1"/>
    <w:rsid w:val="00361DB5"/>
    <w:rsid w:val="00367938"/>
    <w:rsid w:val="0037168F"/>
    <w:rsid w:val="00375CC7"/>
    <w:rsid w:val="00376731"/>
    <w:rsid w:val="0037768B"/>
    <w:rsid w:val="0038017C"/>
    <w:rsid w:val="0038029D"/>
    <w:rsid w:val="003846DA"/>
    <w:rsid w:val="0038669D"/>
    <w:rsid w:val="003919B3"/>
    <w:rsid w:val="003921B3"/>
    <w:rsid w:val="00392E34"/>
    <w:rsid w:val="00393864"/>
    <w:rsid w:val="00393DE7"/>
    <w:rsid w:val="003A008C"/>
    <w:rsid w:val="003A354D"/>
    <w:rsid w:val="003A5A63"/>
    <w:rsid w:val="003A67E9"/>
    <w:rsid w:val="003A69A8"/>
    <w:rsid w:val="003A741F"/>
    <w:rsid w:val="003A79A5"/>
    <w:rsid w:val="003B012B"/>
    <w:rsid w:val="003B09A7"/>
    <w:rsid w:val="003B18A2"/>
    <w:rsid w:val="003B2B80"/>
    <w:rsid w:val="003B39E3"/>
    <w:rsid w:val="003B4442"/>
    <w:rsid w:val="003B63CE"/>
    <w:rsid w:val="003C1787"/>
    <w:rsid w:val="003C1EE0"/>
    <w:rsid w:val="003C20F1"/>
    <w:rsid w:val="003C32C5"/>
    <w:rsid w:val="003C5152"/>
    <w:rsid w:val="003C74DB"/>
    <w:rsid w:val="003C7FF4"/>
    <w:rsid w:val="003D0965"/>
    <w:rsid w:val="003D0E89"/>
    <w:rsid w:val="003D10A3"/>
    <w:rsid w:val="003D15CA"/>
    <w:rsid w:val="003D2A99"/>
    <w:rsid w:val="003D4C07"/>
    <w:rsid w:val="003D5000"/>
    <w:rsid w:val="003D68E6"/>
    <w:rsid w:val="003E1E93"/>
    <w:rsid w:val="003E4A51"/>
    <w:rsid w:val="003E4D3B"/>
    <w:rsid w:val="003E7350"/>
    <w:rsid w:val="003E7600"/>
    <w:rsid w:val="003F24DC"/>
    <w:rsid w:val="003F36CF"/>
    <w:rsid w:val="003F48D2"/>
    <w:rsid w:val="003F495C"/>
    <w:rsid w:val="003F55AE"/>
    <w:rsid w:val="00401221"/>
    <w:rsid w:val="004012B9"/>
    <w:rsid w:val="00402D18"/>
    <w:rsid w:val="004104C5"/>
    <w:rsid w:val="00410A3C"/>
    <w:rsid w:val="00410D7E"/>
    <w:rsid w:val="00411C65"/>
    <w:rsid w:val="00412498"/>
    <w:rsid w:val="00413FD1"/>
    <w:rsid w:val="004165C6"/>
    <w:rsid w:val="004213F3"/>
    <w:rsid w:val="00421B3E"/>
    <w:rsid w:val="00421B64"/>
    <w:rsid w:val="00423207"/>
    <w:rsid w:val="00423E1A"/>
    <w:rsid w:val="004271F5"/>
    <w:rsid w:val="00432569"/>
    <w:rsid w:val="00432FF7"/>
    <w:rsid w:val="0043566C"/>
    <w:rsid w:val="00443380"/>
    <w:rsid w:val="004456C1"/>
    <w:rsid w:val="00451474"/>
    <w:rsid w:val="00451B9E"/>
    <w:rsid w:val="0045447A"/>
    <w:rsid w:val="00456FE7"/>
    <w:rsid w:val="0045717D"/>
    <w:rsid w:val="00461A70"/>
    <w:rsid w:val="00461AED"/>
    <w:rsid w:val="0046373A"/>
    <w:rsid w:val="00464898"/>
    <w:rsid w:val="00465A9A"/>
    <w:rsid w:val="0046624A"/>
    <w:rsid w:val="00472180"/>
    <w:rsid w:val="004721F0"/>
    <w:rsid w:val="00474874"/>
    <w:rsid w:val="00474E1F"/>
    <w:rsid w:val="00475A02"/>
    <w:rsid w:val="00475CC8"/>
    <w:rsid w:val="00477570"/>
    <w:rsid w:val="00477ACD"/>
    <w:rsid w:val="00482216"/>
    <w:rsid w:val="00482734"/>
    <w:rsid w:val="004833EE"/>
    <w:rsid w:val="00484660"/>
    <w:rsid w:val="00484B64"/>
    <w:rsid w:val="0048638E"/>
    <w:rsid w:val="00490789"/>
    <w:rsid w:val="00491823"/>
    <w:rsid w:val="00495694"/>
    <w:rsid w:val="00497954"/>
    <w:rsid w:val="00497F48"/>
    <w:rsid w:val="004A014C"/>
    <w:rsid w:val="004A06AE"/>
    <w:rsid w:val="004A1355"/>
    <w:rsid w:val="004A3371"/>
    <w:rsid w:val="004A717B"/>
    <w:rsid w:val="004A7262"/>
    <w:rsid w:val="004B0150"/>
    <w:rsid w:val="004B4D5F"/>
    <w:rsid w:val="004B6993"/>
    <w:rsid w:val="004B768D"/>
    <w:rsid w:val="004C419B"/>
    <w:rsid w:val="004C68C2"/>
    <w:rsid w:val="004D01CB"/>
    <w:rsid w:val="004D13D7"/>
    <w:rsid w:val="004D2955"/>
    <w:rsid w:val="004D6309"/>
    <w:rsid w:val="004D73CD"/>
    <w:rsid w:val="004D7415"/>
    <w:rsid w:val="004D7594"/>
    <w:rsid w:val="004D7879"/>
    <w:rsid w:val="004E119F"/>
    <w:rsid w:val="004E55C3"/>
    <w:rsid w:val="004E5A6A"/>
    <w:rsid w:val="004E65B5"/>
    <w:rsid w:val="00501B7F"/>
    <w:rsid w:val="00501D42"/>
    <w:rsid w:val="00502354"/>
    <w:rsid w:val="00504A30"/>
    <w:rsid w:val="00505E1C"/>
    <w:rsid w:val="00506FDF"/>
    <w:rsid w:val="0050775B"/>
    <w:rsid w:val="0051409F"/>
    <w:rsid w:val="0051440A"/>
    <w:rsid w:val="005243E8"/>
    <w:rsid w:val="00525545"/>
    <w:rsid w:val="00527CCA"/>
    <w:rsid w:val="00531B89"/>
    <w:rsid w:val="005336DE"/>
    <w:rsid w:val="00534F83"/>
    <w:rsid w:val="0053705D"/>
    <w:rsid w:val="005435D0"/>
    <w:rsid w:val="00543840"/>
    <w:rsid w:val="00543CA7"/>
    <w:rsid w:val="00544B00"/>
    <w:rsid w:val="00545DC3"/>
    <w:rsid w:val="00547043"/>
    <w:rsid w:val="005524B7"/>
    <w:rsid w:val="00552C72"/>
    <w:rsid w:val="005545D3"/>
    <w:rsid w:val="00557284"/>
    <w:rsid w:val="00557332"/>
    <w:rsid w:val="00561A56"/>
    <w:rsid w:val="00562B36"/>
    <w:rsid w:val="0056329C"/>
    <w:rsid w:val="0056352E"/>
    <w:rsid w:val="005663C7"/>
    <w:rsid w:val="00570817"/>
    <w:rsid w:val="00577318"/>
    <w:rsid w:val="005815EC"/>
    <w:rsid w:val="0058491B"/>
    <w:rsid w:val="00585827"/>
    <w:rsid w:val="005860DD"/>
    <w:rsid w:val="005869A7"/>
    <w:rsid w:val="00590A19"/>
    <w:rsid w:val="00591734"/>
    <w:rsid w:val="005926F6"/>
    <w:rsid w:val="005928BC"/>
    <w:rsid w:val="00594508"/>
    <w:rsid w:val="00594E2C"/>
    <w:rsid w:val="00596105"/>
    <w:rsid w:val="00597024"/>
    <w:rsid w:val="005A0220"/>
    <w:rsid w:val="005A311E"/>
    <w:rsid w:val="005A403B"/>
    <w:rsid w:val="005A4D38"/>
    <w:rsid w:val="005A5DC8"/>
    <w:rsid w:val="005B03D4"/>
    <w:rsid w:val="005B2444"/>
    <w:rsid w:val="005B3EB0"/>
    <w:rsid w:val="005B4820"/>
    <w:rsid w:val="005B7D05"/>
    <w:rsid w:val="005C0557"/>
    <w:rsid w:val="005C0746"/>
    <w:rsid w:val="005C0AAA"/>
    <w:rsid w:val="005C5B18"/>
    <w:rsid w:val="005C5FDC"/>
    <w:rsid w:val="005C758B"/>
    <w:rsid w:val="005D068C"/>
    <w:rsid w:val="005D3FB8"/>
    <w:rsid w:val="005D519E"/>
    <w:rsid w:val="005D6C82"/>
    <w:rsid w:val="005E04B7"/>
    <w:rsid w:val="005E5A07"/>
    <w:rsid w:val="005E5B74"/>
    <w:rsid w:val="005F1F7C"/>
    <w:rsid w:val="005F334C"/>
    <w:rsid w:val="005F4F37"/>
    <w:rsid w:val="006014D6"/>
    <w:rsid w:val="00602BB7"/>
    <w:rsid w:val="0060540C"/>
    <w:rsid w:val="0060799D"/>
    <w:rsid w:val="00611B5F"/>
    <w:rsid w:val="0061396C"/>
    <w:rsid w:val="006157B9"/>
    <w:rsid w:val="0062175F"/>
    <w:rsid w:val="00622ABC"/>
    <w:rsid w:val="00623B44"/>
    <w:rsid w:val="006244A4"/>
    <w:rsid w:val="00625462"/>
    <w:rsid w:val="00626CF6"/>
    <w:rsid w:val="006308D4"/>
    <w:rsid w:val="006366CE"/>
    <w:rsid w:val="006421F0"/>
    <w:rsid w:val="0064250C"/>
    <w:rsid w:val="0064345A"/>
    <w:rsid w:val="00646F0E"/>
    <w:rsid w:val="006476C4"/>
    <w:rsid w:val="00647FAE"/>
    <w:rsid w:val="00647FDB"/>
    <w:rsid w:val="00651571"/>
    <w:rsid w:val="00654600"/>
    <w:rsid w:val="00656B9A"/>
    <w:rsid w:val="00657741"/>
    <w:rsid w:val="006610C6"/>
    <w:rsid w:val="00661CBA"/>
    <w:rsid w:val="0066298E"/>
    <w:rsid w:val="0066321D"/>
    <w:rsid w:val="0066440A"/>
    <w:rsid w:val="006651C9"/>
    <w:rsid w:val="0066578A"/>
    <w:rsid w:val="00670334"/>
    <w:rsid w:val="0067038F"/>
    <w:rsid w:val="00671273"/>
    <w:rsid w:val="006715A7"/>
    <w:rsid w:val="006740CC"/>
    <w:rsid w:val="0067620B"/>
    <w:rsid w:val="00680D83"/>
    <w:rsid w:val="0068264A"/>
    <w:rsid w:val="0068276C"/>
    <w:rsid w:val="00682AEC"/>
    <w:rsid w:val="00683D0F"/>
    <w:rsid w:val="0068581D"/>
    <w:rsid w:val="006878EC"/>
    <w:rsid w:val="00690CFD"/>
    <w:rsid w:val="006912D0"/>
    <w:rsid w:val="00693939"/>
    <w:rsid w:val="0069470B"/>
    <w:rsid w:val="00696EBB"/>
    <w:rsid w:val="00697BA9"/>
    <w:rsid w:val="006A049A"/>
    <w:rsid w:val="006A1313"/>
    <w:rsid w:val="006A27F6"/>
    <w:rsid w:val="006A4DF4"/>
    <w:rsid w:val="006A5182"/>
    <w:rsid w:val="006A71EA"/>
    <w:rsid w:val="006B033B"/>
    <w:rsid w:val="006B27E5"/>
    <w:rsid w:val="006B34F1"/>
    <w:rsid w:val="006B4ACE"/>
    <w:rsid w:val="006B69FD"/>
    <w:rsid w:val="006B7341"/>
    <w:rsid w:val="006B7816"/>
    <w:rsid w:val="006B7C21"/>
    <w:rsid w:val="006C15E3"/>
    <w:rsid w:val="006C21E5"/>
    <w:rsid w:val="006C22DC"/>
    <w:rsid w:val="006C37C6"/>
    <w:rsid w:val="006C40AB"/>
    <w:rsid w:val="006C51B3"/>
    <w:rsid w:val="006C7716"/>
    <w:rsid w:val="006D10F7"/>
    <w:rsid w:val="006D29DD"/>
    <w:rsid w:val="006D450C"/>
    <w:rsid w:val="006E00F4"/>
    <w:rsid w:val="006E5ADB"/>
    <w:rsid w:val="006E6C17"/>
    <w:rsid w:val="006E7EA7"/>
    <w:rsid w:val="006E7EF4"/>
    <w:rsid w:val="006F0D49"/>
    <w:rsid w:val="006F407A"/>
    <w:rsid w:val="006F5F01"/>
    <w:rsid w:val="006F610D"/>
    <w:rsid w:val="006F63BB"/>
    <w:rsid w:val="006F7146"/>
    <w:rsid w:val="00700104"/>
    <w:rsid w:val="00703E9A"/>
    <w:rsid w:val="007124EB"/>
    <w:rsid w:val="00715F40"/>
    <w:rsid w:val="00717C4C"/>
    <w:rsid w:val="00717C96"/>
    <w:rsid w:val="00720BD0"/>
    <w:rsid w:val="0072317A"/>
    <w:rsid w:val="0072447F"/>
    <w:rsid w:val="00725A7E"/>
    <w:rsid w:val="00727D9F"/>
    <w:rsid w:val="00730421"/>
    <w:rsid w:val="00730C3E"/>
    <w:rsid w:val="00733667"/>
    <w:rsid w:val="0073636E"/>
    <w:rsid w:val="007400E0"/>
    <w:rsid w:val="0074057E"/>
    <w:rsid w:val="00741409"/>
    <w:rsid w:val="00742223"/>
    <w:rsid w:val="0074242A"/>
    <w:rsid w:val="0074457E"/>
    <w:rsid w:val="0074524E"/>
    <w:rsid w:val="0074542B"/>
    <w:rsid w:val="00745E9F"/>
    <w:rsid w:val="00747351"/>
    <w:rsid w:val="007570AE"/>
    <w:rsid w:val="007604FF"/>
    <w:rsid w:val="007610DF"/>
    <w:rsid w:val="007644C1"/>
    <w:rsid w:val="00764F1C"/>
    <w:rsid w:val="0076645F"/>
    <w:rsid w:val="00770845"/>
    <w:rsid w:val="00773B62"/>
    <w:rsid w:val="00780951"/>
    <w:rsid w:val="00780ED1"/>
    <w:rsid w:val="007833AC"/>
    <w:rsid w:val="00786BD8"/>
    <w:rsid w:val="00787007"/>
    <w:rsid w:val="007904DC"/>
    <w:rsid w:val="00792A99"/>
    <w:rsid w:val="007A2958"/>
    <w:rsid w:val="007A37F2"/>
    <w:rsid w:val="007A3AB2"/>
    <w:rsid w:val="007A686E"/>
    <w:rsid w:val="007A71A7"/>
    <w:rsid w:val="007A7640"/>
    <w:rsid w:val="007B1193"/>
    <w:rsid w:val="007B5446"/>
    <w:rsid w:val="007B7451"/>
    <w:rsid w:val="007C0154"/>
    <w:rsid w:val="007C046F"/>
    <w:rsid w:val="007C26D7"/>
    <w:rsid w:val="007C39B2"/>
    <w:rsid w:val="007C5B09"/>
    <w:rsid w:val="007C6E8B"/>
    <w:rsid w:val="007C7052"/>
    <w:rsid w:val="007D2999"/>
    <w:rsid w:val="007D3FC6"/>
    <w:rsid w:val="007D590C"/>
    <w:rsid w:val="007D5CD8"/>
    <w:rsid w:val="007D7222"/>
    <w:rsid w:val="007D75C0"/>
    <w:rsid w:val="007D7FD3"/>
    <w:rsid w:val="007E07A5"/>
    <w:rsid w:val="007E1355"/>
    <w:rsid w:val="007E6984"/>
    <w:rsid w:val="007F2A54"/>
    <w:rsid w:val="007F31DD"/>
    <w:rsid w:val="007F3F2A"/>
    <w:rsid w:val="007F4229"/>
    <w:rsid w:val="007F4B9D"/>
    <w:rsid w:val="007F4F0D"/>
    <w:rsid w:val="007F4F2A"/>
    <w:rsid w:val="007F5E95"/>
    <w:rsid w:val="007F5FE8"/>
    <w:rsid w:val="007F6078"/>
    <w:rsid w:val="007F62C0"/>
    <w:rsid w:val="00800A15"/>
    <w:rsid w:val="00801342"/>
    <w:rsid w:val="00802022"/>
    <w:rsid w:val="00802DCB"/>
    <w:rsid w:val="00803A68"/>
    <w:rsid w:val="00803FEC"/>
    <w:rsid w:val="00806BAE"/>
    <w:rsid w:val="008078DC"/>
    <w:rsid w:val="00807CA3"/>
    <w:rsid w:val="00813C12"/>
    <w:rsid w:val="008153A9"/>
    <w:rsid w:val="008243A6"/>
    <w:rsid w:val="00827013"/>
    <w:rsid w:val="0084146D"/>
    <w:rsid w:val="00841852"/>
    <w:rsid w:val="00841893"/>
    <w:rsid w:val="00841F19"/>
    <w:rsid w:val="00845105"/>
    <w:rsid w:val="008458A1"/>
    <w:rsid w:val="0085182E"/>
    <w:rsid w:val="00851DB6"/>
    <w:rsid w:val="008530AD"/>
    <w:rsid w:val="00857538"/>
    <w:rsid w:val="00857638"/>
    <w:rsid w:val="00861DA8"/>
    <w:rsid w:val="00863662"/>
    <w:rsid w:val="00863C01"/>
    <w:rsid w:val="00864206"/>
    <w:rsid w:val="00865584"/>
    <w:rsid w:val="00866952"/>
    <w:rsid w:val="0087089F"/>
    <w:rsid w:val="008715F6"/>
    <w:rsid w:val="00871CC4"/>
    <w:rsid w:val="008803E1"/>
    <w:rsid w:val="00881240"/>
    <w:rsid w:val="008849B5"/>
    <w:rsid w:val="008878DA"/>
    <w:rsid w:val="00892D0C"/>
    <w:rsid w:val="00896F83"/>
    <w:rsid w:val="008A0685"/>
    <w:rsid w:val="008A21B2"/>
    <w:rsid w:val="008A253A"/>
    <w:rsid w:val="008A5A44"/>
    <w:rsid w:val="008B1F24"/>
    <w:rsid w:val="008B34B1"/>
    <w:rsid w:val="008B5814"/>
    <w:rsid w:val="008C038C"/>
    <w:rsid w:val="008C44BA"/>
    <w:rsid w:val="008C4D21"/>
    <w:rsid w:val="008C5780"/>
    <w:rsid w:val="008C5801"/>
    <w:rsid w:val="008C6790"/>
    <w:rsid w:val="008C7BD4"/>
    <w:rsid w:val="008D169F"/>
    <w:rsid w:val="008D1B0C"/>
    <w:rsid w:val="008D1D6F"/>
    <w:rsid w:val="008D2F17"/>
    <w:rsid w:val="008D3F8E"/>
    <w:rsid w:val="008D4ED6"/>
    <w:rsid w:val="008D5926"/>
    <w:rsid w:val="008D681F"/>
    <w:rsid w:val="008D71B7"/>
    <w:rsid w:val="008E166F"/>
    <w:rsid w:val="008E281C"/>
    <w:rsid w:val="008E2AA0"/>
    <w:rsid w:val="008E516D"/>
    <w:rsid w:val="008E55C6"/>
    <w:rsid w:val="008E6F79"/>
    <w:rsid w:val="008E72BA"/>
    <w:rsid w:val="008E7C2D"/>
    <w:rsid w:val="008F2C57"/>
    <w:rsid w:val="008F3BAB"/>
    <w:rsid w:val="008F3DCB"/>
    <w:rsid w:val="008F4A42"/>
    <w:rsid w:val="008F657B"/>
    <w:rsid w:val="008F7EA0"/>
    <w:rsid w:val="00900A84"/>
    <w:rsid w:val="00901C1B"/>
    <w:rsid w:val="009020D4"/>
    <w:rsid w:val="00903B95"/>
    <w:rsid w:val="009042A7"/>
    <w:rsid w:val="00904356"/>
    <w:rsid w:val="00904E2B"/>
    <w:rsid w:val="00906140"/>
    <w:rsid w:val="00906285"/>
    <w:rsid w:val="00907970"/>
    <w:rsid w:val="00911461"/>
    <w:rsid w:val="00911CF4"/>
    <w:rsid w:val="0091720A"/>
    <w:rsid w:val="009222B9"/>
    <w:rsid w:val="00922A3D"/>
    <w:rsid w:val="00922A58"/>
    <w:rsid w:val="009261AD"/>
    <w:rsid w:val="00926984"/>
    <w:rsid w:val="00930526"/>
    <w:rsid w:val="00930801"/>
    <w:rsid w:val="00931EBA"/>
    <w:rsid w:val="00935823"/>
    <w:rsid w:val="00936A07"/>
    <w:rsid w:val="00937FCB"/>
    <w:rsid w:val="00945CC5"/>
    <w:rsid w:val="00946A07"/>
    <w:rsid w:val="00957EAD"/>
    <w:rsid w:val="00960938"/>
    <w:rsid w:val="00961B52"/>
    <w:rsid w:val="00962EFE"/>
    <w:rsid w:val="009713DB"/>
    <w:rsid w:val="00971770"/>
    <w:rsid w:val="00972020"/>
    <w:rsid w:val="009722FE"/>
    <w:rsid w:val="009746CB"/>
    <w:rsid w:val="00975EE4"/>
    <w:rsid w:val="00977D67"/>
    <w:rsid w:val="00983B15"/>
    <w:rsid w:val="00987ED4"/>
    <w:rsid w:val="0099378F"/>
    <w:rsid w:val="009946C8"/>
    <w:rsid w:val="009963CF"/>
    <w:rsid w:val="00996F63"/>
    <w:rsid w:val="00997F8D"/>
    <w:rsid w:val="009A1949"/>
    <w:rsid w:val="009A24DD"/>
    <w:rsid w:val="009A349A"/>
    <w:rsid w:val="009A479F"/>
    <w:rsid w:val="009A5917"/>
    <w:rsid w:val="009A5C60"/>
    <w:rsid w:val="009A6BAB"/>
    <w:rsid w:val="009A7214"/>
    <w:rsid w:val="009A7CA3"/>
    <w:rsid w:val="009B0E98"/>
    <w:rsid w:val="009B32CA"/>
    <w:rsid w:val="009B4E8D"/>
    <w:rsid w:val="009B54E6"/>
    <w:rsid w:val="009C0B37"/>
    <w:rsid w:val="009C2318"/>
    <w:rsid w:val="009C28B1"/>
    <w:rsid w:val="009C7294"/>
    <w:rsid w:val="009C77EB"/>
    <w:rsid w:val="009D0CF2"/>
    <w:rsid w:val="009D2756"/>
    <w:rsid w:val="009E130C"/>
    <w:rsid w:val="009E238C"/>
    <w:rsid w:val="009E4304"/>
    <w:rsid w:val="009E7790"/>
    <w:rsid w:val="009E7E02"/>
    <w:rsid w:val="009E7F1F"/>
    <w:rsid w:val="009F3B2E"/>
    <w:rsid w:val="009F42CD"/>
    <w:rsid w:val="009F7D83"/>
    <w:rsid w:val="00A063D5"/>
    <w:rsid w:val="00A11F7D"/>
    <w:rsid w:val="00A140C6"/>
    <w:rsid w:val="00A14A83"/>
    <w:rsid w:val="00A165A9"/>
    <w:rsid w:val="00A22435"/>
    <w:rsid w:val="00A23294"/>
    <w:rsid w:val="00A251C6"/>
    <w:rsid w:val="00A263AF"/>
    <w:rsid w:val="00A26526"/>
    <w:rsid w:val="00A26FBF"/>
    <w:rsid w:val="00A304A9"/>
    <w:rsid w:val="00A323BE"/>
    <w:rsid w:val="00A33BCE"/>
    <w:rsid w:val="00A3564A"/>
    <w:rsid w:val="00A379FF"/>
    <w:rsid w:val="00A40894"/>
    <w:rsid w:val="00A40B92"/>
    <w:rsid w:val="00A41668"/>
    <w:rsid w:val="00A429BF"/>
    <w:rsid w:val="00A50654"/>
    <w:rsid w:val="00A51CAB"/>
    <w:rsid w:val="00A54746"/>
    <w:rsid w:val="00A60144"/>
    <w:rsid w:val="00A61838"/>
    <w:rsid w:val="00A61A0C"/>
    <w:rsid w:val="00A64A8E"/>
    <w:rsid w:val="00A65034"/>
    <w:rsid w:val="00A66D30"/>
    <w:rsid w:val="00A67D26"/>
    <w:rsid w:val="00A703B9"/>
    <w:rsid w:val="00A70B14"/>
    <w:rsid w:val="00A7116D"/>
    <w:rsid w:val="00A711F2"/>
    <w:rsid w:val="00A75DCB"/>
    <w:rsid w:val="00A77470"/>
    <w:rsid w:val="00A80539"/>
    <w:rsid w:val="00A82029"/>
    <w:rsid w:val="00A82744"/>
    <w:rsid w:val="00A8613A"/>
    <w:rsid w:val="00A926C0"/>
    <w:rsid w:val="00A92C55"/>
    <w:rsid w:val="00A93EC7"/>
    <w:rsid w:val="00A94145"/>
    <w:rsid w:val="00A96485"/>
    <w:rsid w:val="00A97B33"/>
    <w:rsid w:val="00AA013B"/>
    <w:rsid w:val="00AA0D34"/>
    <w:rsid w:val="00AA44BB"/>
    <w:rsid w:val="00AA47FB"/>
    <w:rsid w:val="00AA626E"/>
    <w:rsid w:val="00AA6847"/>
    <w:rsid w:val="00AA6BF2"/>
    <w:rsid w:val="00AA76AF"/>
    <w:rsid w:val="00AB1EC9"/>
    <w:rsid w:val="00AC0A33"/>
    <w:rsid w:val="00AC2A64"/>
    <w:rsid w:val="00AC3FF6"/>
    <w:rsid w:val="00AC6146"/>
    <w:rsid w:val="00AC6915"/>
    <w:rsid w:val="00AD083F"/>
    <w:rsid w:val="00AD0FB8"/>
    <w:rsid w:val="00AD2C7B"/>
    <w:rsid w:val="00AD39EF"/>
    <w:rsid w:val="00AD4F63"/>
    <w:rsid w:val="00AE38EE"/>
    <w:rsid w:val="00AE4556"/>
    <w:rsid w:val="00AE5520"/>
    <w:rsid w:val="00AE7E6E"/>
    <w:rsid w:val="00AF06B7"/>
    <w:rsid w:val="00AF1B1B"/>
    <w:rsid w:val="00AF1EDA"/>
    <w:rsid w:val="00AF2C44"/>
    <w:rsid w:val="00AF5C4B"/>
    <w:rsid w:val="00AF6A82"/>
    <w:rsid w:val="00B00F62"/>
    <w:rsid w:val="00B035C4"/>
    <w:rsid w:val="00B03A22"/>
    <w:rsid w:val="00B03FC5"/>
    <w:rsid w:val="00B04144"/>
    <w:rsid w:val="00B0467E"/>
    <w:rsid w:val="00B04B0D"/>
    <w:rsid w:val="00B05A35"/>
    <w:rsid w:val="00B07EEE"/>
    <w:rsid w:val="00B07EF0"/>
    <w:rsid w:val="00B12FA3"/>
    <w:rsid w:val="00B131B4"/>
    <w:rsid w:val="00B208D9"/>
    <w:rsid w:val="00B20BBF"/>
    <w:rsid w:val="00B22315"/>
    <w:rsid w:val="00B30CDC"/>
    <w:rsid w:val="00B30D59"/>
    <w:rsid w:val="00B31837"/>
    <w:rsid w:val="00B33372"/>
    <w:rsid w:val="00B33EDF"/>
    <w:rsid w:val="00B34A1E"/>
    <w:rsid w:val="00B352BD"/>
    <w:rsid w:val="00B36519"/>
    <w:rsid w:val="00B36E0E"/>
    <w:rsid w:val="00B40DFE"/>
    <w:rsid w:val="00B42C94"/>
    <w:rsid w:val="00B42F90"/>
    <w:rsid w:val="00B4344D"/>
    <w:rsid w:val="00B50A58"/>
    <w:rsid w:val="00B51EF7"/>
    <w:rsid w:val="00B566B7"/>
    <w:rsid w:val="00B5799F"/>
    <w:rsid w:val="00B60B10"/>
    <w:rsid w:val="00B61E6C"/>
    <w:rsid w:val="00B66BF0"/>
    <w:rsid w:val="00B7012E"/>
    <w:rsid w:val="00B70758"/>
    <w:rsid w:val="00B72FDB"/>
    <w:rsid w:val="00B759DC"/>
    <w:rsid w:val="00B80FC2"/>
    <w:rsid w:val="00B83250"/>
    <w:rsid w:val="00B83BFB"/>
    <w:rsid w:val="00B855A5"/>
    <w:rsid w:val="00B9411C"/>
    <w:rsid w:val="00BA0039"/>
    <w:rsid w:val="00BA005E"/>
    <w:rsid w:val="00BA4D2F"/>
    <w:rsid w:val="00BA67DA"/>
    <w:rsid w:val="00BA68B0"/>
    <w:rsid w:val="00BB0152"/>
    <w:rsid w:val="00BB0F63"/>
    <w:rsid w:val="00BB2FB1"/>
    <w:rsid w:val="00BC10C7"/>
    <w:rsid w:val="00BC1679"/>
    <w:rsid w:val="00BC1F1B"/>
    <w:rsid w:val="00BC4C32"/>
    <w:rsid w:val="00BD040A"/>
    <w:rsid w:val="00BD718F"/>
    <w:rsid w:val="00BE023F"/>
    <w:rsid w:val="00BE1281"/>
    <w:rsid w:val="00BE2B3B"/>
    <w:rsid w:val="00BE39DD"/>
    <w:rsid w:val="00BE4E03"/>
    <w:rsid w:val="00BE5B5D"/>
    <w:rsid w:val="00BE6CAF"/>
    <w:rsid w:val="00BE77DF"/>
    <w:rsid w:val="00BF0B65"/>
    <w:rsid w:val="00BF208C"/>
    <w:rsid w:val="00BF2970"/>
    <w:rsid w:val="00BF549A"/>
    <w:rsid w:val="00C0019C"/>
    <w:rsid w:val="00C04465"/>
    <w:rsid w:val="00C05269"/>
    <w:rsid w:val="00C05370"/>
    <w:rsid w:val="00C05665"/>
    <w:rsid w:val="00C10822"/>
    <w:rsid w:val="00C1117E"/>
    <w:rsid w:val="00C12BB2"/>
    <w:rsid w:val="00C13B46"/>
    <w:rsid w:val="00C16BCF"/>
    <w:rsid w:val="00C16FA5"/>
    <w:rsid w:val="00C2008A"/>
    <w:rsid w:val="00C21D5B"/>
    <w:rsid w:val="00C234D4"/>
    <w:rsid w:val="00C23E1A"/>
    <w:rsid w:val="00C251AA"/>
    <w:rsid w:val="00C2694D"/>
    <w:rsid w:val="00C27B99"/>
    <w:rsid w:val="00C30184"/>
    <w:rsid w:val="00C3439B"/>
    <w:rsid w:val="00C345AB"/>
    <w:rsid w:val="00C362D9"/>
    <w:rsid w:val="00C367B7"/>
    <w:rsid w:val="00C40B8C"/>
    <w:rsid w:val="00C40D8B"/>
    <w:rsid w:val="00C41801"/>
    <w:rsid w:val="00C42532"/>
    <w:rsid w:val="00C475E8"/>
    <w:rsid w:val="00C47B17"/>
    <w:rsid w:val="00C526B7"/>
    <w:rsid w:val="00C56F72"/>
    <w:rsid w:val="00C6283D"/>
    <w:rsid w:val="00C62BE7"/>
    <w:rsid w:val="00C6436F"/>
    <w:rsid w:val="00C70F6D"/>
    <w:rsid w:val="00C71DA8"/>
    <w:rsid w:val="00C7244E"/>
    <w:rsid w:val="00C812D1"/>
    <w:rsid w:val="00C8192B"/>
    <w:rsid w:val="00C81F0C"/>
    <w:rsid w:val="00C82405"/>
    <w:rsid w:val="00C842B3"/>
    <w:rsid w:val="00C84980"/>
    <w:rsid w:val="00C85B5C"/>
    <w:rsid w:val="00C87707"/>
    <w:rsid w:val="00C90241"/>
    <w:rsid w:val="00C97484"/>
    <w:rsid w:val="00C97B7F"/>
    <w:rsid w:val="00CA2917"/>
    <w:rsid w:val="00CA6077"/>
    <w:rsid w:val="00CA64CE"/>
    <w:rsid w:val="00CA65AA"/>
    <w:rsid w:val="00CA72DB"/>
    <w:rsid w:val="00CA77E5"/>
    <w:rsid w:val="00CB11B2"/>
    <w:rsid w:val="00CB14AB"/>
    <w:rsid w:val="00CB5E13"/>
    <w:rsid w:val="00CC08DC"/>
    <w:rsid w:val="00CC42C7"/>
    <w:rsid w:val="00CC502B"/>
    <w:rsid w:val="00CC5D63"/>
    <w:rsid w:val="00CC6EA8"/>
    <w:rsid w:val="00CC7B09"/>
    <w:rsid w:val="00CD009F"/>
    <w:rsid w:val="00CD1FED"/>
    <w:rsid w:val="00CD2DBA"/>
    <w:rsid w:val="00CD4EA9"/>
    <w:rsid w:val="00CD6841"/>
    <w:rsid w:val="00CD7873"/>
    <w:rsid w:val="00CE077C"/>
    <w:rsid w:val="00CE2393"/>
    <w:rsid w:val="00CE36D1"/>
    <w:rsid w:val="00CE3907"/>
    <w:rsid w:val="00CE3C63"/>
    <w:rsid w:val="00CE4424"/>
    <w:rsid w:val="00CF00A3"/>
    <w:rsid w:val="00CF0AEE"/>
    <w:rsid w:val="00CF1993"/>
    <w:rsid w:val="00CF2FED"/>
    <w:rsid w:val="00CF383E"/>
    <w:rsid w:val="00CF619E"/>
    <w:rsid w:val="00CF6245"/>
    <w:rsid w:val="00CF7865"/>
    <w:rsid w:val="00CF7F44"/>
    <w:rsid w:val="00D00D05"/>
    <w:rsid w:val="00D034AD"/>
    <w:rsid w:val="00D15E17"/>
    <w:rsid w:val="00D226CB"/>
    <w:rsid w:val="00D23411"/>
    <w:rsid w:val="00D23BC1"/>
    <w:rsid w:val="00D2477D"/>
    <w:rsid w:val="00D25A41"/>
    <w:rsid w:val="00D25B07"/>
    <w:rsid w:val="00D26C85"/>
    <w:rsid w:val="00D31469"/>
    <w:rsid w:val="00D34C3D"/>
    <w:rsid w:val="00D36E7C"/>
    <w:rsid w:val="00D43900"/>
    <w:rsid w:val="00D4423D"/>
    <w:rsid w:val="00D469B0"/>
    <w:rsid w:val="00D4713F"/>
    <w:rsid w:val="00D5151B"/>
    <w:rsid w:val="00D51A6D"/>
    <w:rsid w:val="00D52562"/>
    <w:rsid w:val="00D52D64"/>
    <w:rsid w:val="00D551F2"/>
    <w:rsid w:val="00D55694"/>
    <w:rsid w:val="00D567C1"/>
    <w:rsid w:val="00D60BCF"/>
    <w:rsid w:val="00D6124B"/>
    <w:rsid w:val="00D61919"/>
    <w:rsid w:val="00D64867"/>
    <w:rsid w:val="00D6500E"/>
    <w:rsid w:val="00D7362C"/>
    <w:rsid w:val="00D76682"/>
    <w:rsid w:val="00D77C90"/>
    <w:rsid w:val="00D833AD"/>
    <w:rsid w:val="00D8352C"/>
    <w:rsid w:val="00D83D78"/>
    <w:rsid w:val="00D85C5D"/>
    <w:rsid w:val="00D90217"/>
    <w:rsid w:val="00D907E1"/>
    <w:rsid w:val="00D9176D"/>
    <w:rsid w:val="00D939BE"/>
    <w:rsid w:val="00D9486F"/>
    <w:rsid w:val="00D96757"/>
    <w:rsid w:val="00D97120"/>
    <w:rsid w:val="00D97D21"/>
    <w:rsid w:val="00DA3E09"/>
    <w:rsid w:val="00DA3F99"/>
    <w:rsid w:val="00DA4876"/>
    <w:rsid w:val="00DA60A0"/>
    <w:rsid w:val="00DA7926"/>
    <w:rsid w:val="00DB0160"/>
    <w:rsid w:val="00DB3352"/>
    <w:rsid w:val="00DB439C"/>
    <w:rsid w:val="00DB4639"/>
    <w:rsid w:val="00DB4D83"/>
    <w:rsid w:val="00DB618B"/>
    <w:rsid w:val="00DB6E50"/>
    <w:rsid w:val="00DB6EE4"/>
    <w:rsid w:val="00DB733A"/>
    <w:rsid w:val="00DC147F"/>
    <w:rsid w:val="00DC3C81"/>
    <w:rsid w:val="00DC6271"/>
    <w:rsid w:val="00DC6A85"/>
    <w:rsid w:val="00DD0B06"/>
    <w:rsid w:val="00DD0F5F"/>
    <w:rsid w:val="00DD1408"/>
    <w:rsid w:val="00DD56C8"/>
    <w:rsid w:val="00DD5FC6"/>
    <w:rsid w:val="00DD66E8"/>
    <w:rsid w:val="00DD6BDC"/>
    <w:rsid w:val="00DD7B1F"/>
    <w:rsid w:val="00DE0701"/>
    <w:rsid w:val="00DE0C31"/>
    <w:rsid w:val="00DE56A3"/>
    <w:rsid w:val="00DE7350"/>
    <w:rsid w:val="00DE75CA"/>
    <w:rsid w:val="00DE7C0A"/>
    <w:rsid w:val="00DF0491"/>
    <w:rsid w:val="00DF15CD"/>
    <w:rsid w:val="00DF2380"/>
    <w:rsid w:val="00DF6879"/>
    <w:rsid w:val="00E00281"/>
    <w:rsid w:val="00E0511E"/>
    <w:rsid w:val="00E0657C"/>
    <w:rsid w:val="00E10EE9"/>
    <w:rsid w:val="00E11BDB"/>
    <w:rsid w:val="00E21088"/>
    <w:rsid w:val="00E246A8"/>
    <w:rsid w:val="00E2501C"/>
    <w:rsid w:val="00E30D30"/>
    <w:rsid w:val="00E3141E"/>
    <w:rsid w:val="00E327BA"/>
    <w:rsid w:val="00E33703"/>
    <w:rsid w:val="00E41B31"/>
    <w:rsid w:val="00E4278C"/>
    <w:rsid w:val="00E4496D"/>
    <w:rsid w:val="00E46FC2"/>
    <w:rsid w:val="00E50477"/>
    <w:rsid w:val="00E5285A"/>
    <w:rsid w:val="00E55E25"/>
    <w:rsid w:val="00E56314"/>
    <w:rsid w:val="00E569BE"/>
    <w:rsid w:val="00E57E30"/>
    <w:rsid w:val="00E61B20"/>
    <w:rsid w:val="00E659F2"/>
    <w:rsid w:val="00E665A8"/>
    <w:rsid w:val="00E7480B"/>
    <w:rsid w:val="00E749D5"/>
    <w:rsid w:val="00E801ED"/>
    <w:rsid w:val="00E80C3B"/>
    <w:rsid w:val="00E81266"/>
    <w:rsid w:val="00E82CAF"/>
    <w:rsid w:val="00E84C0E"/>
    <w:rsid w:val="00E84F95"/>
    <w:rsid w:val="00E9305D"/>
    <w:rsid w:val="00E93582"/>
    <w:rsid w:val="00E93B72"/>
    <w:rsid w:val="00E958D5"/>
    <w:rsid w:val="00E966A5"/>
    <w:rsid w:val="00E96D29"/>
    <w:rsid w:val="00E97709"/>
    <w:rsid w:val="00EA0350"/>
    <w:rsid w:val="00EA10B7"/>
    <w:rsid w:val="00EA1B40"/>
    <w:rsid w:val="00EA413E"/>
    <w:rsid w:val="00EA4C2D"/>
    <w:rsid w:val="00EA51FE"/>
    <w:rsid w:val="00EA7DB9"/>
    <w:rsid w:val="00EB0588"/>
    <w:rsid w:val="00EB1DFD"/>
    <w:rsid w:val="00EB1E40"/>
    <w:rsid w:val="00EB3011"/>
    <w:rsid w:val="00EB4950"/>
    <w:rsid w:val="00EB4E26"/>
    <w:rsid w:val="00EB530C"/>
    <w:rsid w:val="00EB5BD6"/>
    <w:rsid w:val="00EB62F0"/>
    <w:rsid w:val="00EC02C0"/>
    <w:rsid w:val="00EC05EE"/>
    <w:rsid w:val="00EC2CA3"/>
    <w:rsid w:val="00EC32AF"/>
    <w:rsid w:val="00EC36A7"/>
    <w:rsid w:val="00EC393E"/>
    <w:rsid w:val="00EC63C3"/>
    <w:rsid w:val="00ED052D"/>
    <w:rsid w:val="00ED0C1C"/>
    <w:rsid w:val="00ED2490"/>
    <w:rsid w:val="00ED4CA8"/>
    <w:rsid w:val="00ED4FAB"/>
    <w:rsid w:val="00ED72A8"/>
    <w:rsid w:val="00EE0CF7"/>
    <w:rsid w:val="00EE1691"/>
    <w:rsid w:val="00EE1B88"/>
    <w:rsid w:val="00EE46B2"/>
    <w:rsid w:val="00EE5DA0"/>
    <w:rsid w:val="00EE5EB4"/>
    <w:rsid w:val="00EE68EE"/>
    <w:rsid w:val="00EE7A9A"/>
    <w:rsid w:val="00EF10F3"/>
    <w:rsid w:val="00EF1373"/>
    <w:rsid w:val="00EF2ACE"/>
    <w:rsid w:val="00EF2D2E"/>
    <w:rsid w:val="00EF3551"/>
    <w:rsid w:val="00EF35F4"/>
    <w:rsid w:val="00EF4A42"/>
    <w:rsid w:val="00EF5E77"/>
    <w:rsid w:val="00EF6F32"/>
    <w:rsid w:val="00EF7EA5"/>
    <w:rsid w:val="00F004A8"/>
    <w:rsid w:val="00F008D7"/>
    <w:rsid w:val="00F01598"/>
    <w:rsid w:val="00F016B3"/>
    <w:rsid w:val="00F06B36"/>
    <w:rsid w:val="00F10679"/>
    <w:rsid w:val="00F140AD"/>
    <w:rsid w:val="00F15859"/>
    <w:rsid w:val="00F1736A"/>
    <w:rsid w:val="00F17639"/>
    <w:rsid w:val="00F2121C"/>
    <w:rsid w:val="00F212CB"/>
    <w:rsid w:val="00F24CC1"/>
    <w:rsid w:val="00F25868"/>
    <w:rsid w:val="00F26515"/>
    <w:rsid w:val="00F27CF6"/>
    <w:rsid w:val="00F30D1A"/>
    <w:rsid w:val="00F312D1"/>
    <w:rsid w:val="00F32510"/>
    <w:rsid w:val="00F345EE"/>
    <w:rsid w:val="00F356A9"/>
    <w:rsid w:val="00F359E7"/>
    <w:rsid w:val="00F35FED"/>
    <w:rsid w:val="00F420AF"/>
    <w:rsid w:val="00F42667"/>
    <w:rsid w:val="00F43286"/>
    <w:rsid w:val="00F4331C"/>
    <w:rsid w:val="00F433A8"/>
    <w:rsid w:val="00F44473"/>
    <w:rsid w:val="00F46084"/>
    <w:rsid w:val="00F46C18"/>
    <w:rsid w:val="00F47444"/>
    <w:rsid w:val="00F50A6D"/>
    <w:rsid w:val="00F514D1"/>
    <w:rsid w:val="00F54108"/>
    <w:rsid w:val="00F57E25"/>
    <w:rsid w:val="00F6001D"/>
    <w:rsid w:val="00F60169"/>
    <w:rsid w:val="00F60F25"/>
    <w:rsid w:val="00F61A9C"/>
    <w:rsid w:val="00F62110"/>
    <w:rsid w:val="00F62A00"/>
    <w:rsid w:val="00F63589"/>
    <w:rsid w:val="00F64210"/>
    <w:rsid w:val="00F66A14"/>
    <w:rsid w:val="00F67240"/>
    <w:rsid w:val="00F7088B"/>
    <w:rsid w:val="00F70CB2"/>
    <w:rsid w:val="00F73C95"/>
    <w:rsid w:val="00F74BCF"/>
    <w:rsid w:val="00F80655"/>
    <w:rsid w:val="00F838B8"/>
    <w:rsid w:val="00F83E17"/>
    <w:rsid w:val="00F90498"/>
    <w:rsid w:val="00F964F4"/>
    <w:rsid w:val="00F96F2D"/>
    <w:rsid w:val="00F9734D"/>
    <w:rsid w:val="00F97372"/>
    <w:rsid w:val="00F977CE"/>
    <w:rsid w:val="00FA0B59"/>
    <w:rsid w:val="00FA2B6F"/>
    <w:rsid w:val="00FA4C96"/>
    <w:rsid w:val="00FA5A0A"/>
    <w:rsid w:val="00FA5EF8"/>
    <w:rsid w:val="00FA775B"/>
    <w:rsid w:val="00FB341A"/>
    <w:rsid w:val="00FB5B10"/>
    <w:rsid w:val="00FC1F81"/>
    <w:rsid w:val="00FC3061"/>
    <w:rsid w:val="00FC4486"/>
    <w:rsid w:val="00FC4561"/>
    <w:rsid w:val="00FC4A38"/>
    <w:rsid w:val="00FC5C53"/>
    <w:rsid w:val="00FC66D4"/>
    <w:rsid w:val="00FC6F32"/>
    <w:rsid w:val="00FC7E90"/>
    <w:rsid w:val="00FD13B1"/>
    <w:rsid w:val="00FD2297"/>
    <w:rsid w:val="00FD2F59"/>
    <w:rsid w:val="00FD38DE"/>
    <w:rsid w:val="00FD6B9A"/>
    <w:rsid w:val="00FD7BEA"/>
    <w:rsid w:val="00FE0011"/>
    <w:rsid w:val="00FE05EB"/>
    <w:rsid w:val="00FE4676"/>
    <w:rsid w:val="00FF170E"/>
    <w:rsid w:val="00FF2F1D"/>
    <w:rsid w:val="00FF5716"/>
    <w:rsid w:val="00FF7A47"/>
    <w:rsid w:val="3F68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5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C7052"/>
    <w:rPr>
      <w:lang w:val="en-GB"/>
    </w:rPr>
  </w:style>
  <w:style w:type="paragraph" w:styleId="Heading1">
    <w:name w:val="heading 1"/>
    <w:basedOn w:val="Normal"/>
    <w:next w:val="Normal"/>
    <w:link w:val="Heading1Char"/>
    <w:uiPriority w:val="99"/>
    <w:qFormat/>
    <w:rsid w:val="004B6993"/>
    <w:pPr>
      <w:keepNext/>
      <w:keepLines/>
      <w:spacing w:before="480"/>
      <w:outlineLvl w:val="0"/>
    </w:pPr>
    <w:rPr>
      <w:rFonts w:ascii="Arial" w:hAnsi="Arial" w:cs="Arial"/>
      <w:b/>
      <w:bCs/>
      <w:color w:val="4244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4B6993"/>
    <w:rPr>
      <w:rFonts w:ascii="Arial" w:hAnsi="Arial" w:cs="Arial"/>
      <w:b/>
      <w:bCs/>
      <w:color w:val="424477"/>
      <w:sz w:val="28"/>
      <w:szCs w:val="28"/>
    </w:rPr>
  </w:style>
  <w:style w:type="table" w:styleId="TableGrid">
    <w:name w:val="Table Grid"/>
    <w:basedOn w:val="TableNormal"/>
    <w:uiPriority w:val="99"/>
    <w:rsid w:val="007F4F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uiPriority w:val="99"/>
    <w:rsid w:val="00F46084"/>
    <w:pPr>
      <w:spacing w:after="120"/>
    </w:pPr>
  </w:style>
  <w:style w:type="paragraph" w:styleId="Header">
    <w:name w:val="header"/>
    <w:basedOn w:val="Normal"/>
    <w:link w:val="HeaderChar"/>
    <w:uiPriority w:val="99"/>
    <w:rsid w:val="00B04144"/>
    <w:pPr>
      <w:tabs>
        <w:tab w:val="center" w:pos="4536"/>
        <w:tab w:val="right" w:pos="9072"/>
      </w:tabs>
    </w:pPr>
  </w:style>
  <w:style w:type="character" w:customStyle="1" w:styleId="HeaderChar">
    <w:name w:val="Header Char"/>
    <w:basedOn w:val="DefaultParagraphFont"/>
    <w:link w:val="Header"/>
    <w:uiPriority w:val="99"/>
    <w:locked/>
    <w:rsid w:val="00B04144"/>
  </w:style>
  <w:style w:type="paragraph" w:styleId="Footer">
    <w:name w:val="footer"/>
    <w:basedOn w:val="Normal"/>
    <w:link w:val="FooterChar"/>
    <w:uiPriority w:val="99"/>
    <w:semiHidden/>
    <w:rsid w:val="00B04144"/>
    <w:pPr>
      <w:tabs>
        <w:tab w:val="center" w:pos="4536"/>
        <w:tab w:val="right" w:pos="9072"/>
      </w:tabs>
    </w:pPr>
  </w:style>
  <w:style w:type="character" w:customStyle="1" w:styleId="FooterChar">
    <w:name w:val="Footer Char"/>
    <w:basedOn w:val="DefaultParagraphFont"/>
    <w:link w:val="Footer"/>
    <w:uiPriority w:val="99"/>
    <w:semiHidden/>
    <w:locked/>
    <w:rsid w:val="00CD009F"/>
    <w:rPr>
      <w:lang w:val="en-GB"/>
    </w:rPr>
  </w:style>
  <w:style w:type="paragraph" w:styleId="BalloonText">
    <w:name w:val="Balloon Text"/>
    <w:basedOn w:val="Normal"/>
    <w:link w:val="BalloonTextChar"/>
    <w:uiPriority w:val="99"/>
    <w:semiHidden/>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144"/>
    <w:rPr>
      <w:rFonts w:ascii="Tahoma" w:hAnsi="Tahoma" w:cs="Tahoma"/>
      <w:sz w:val="16"/>
      <w:szCs w:val="16"/>
    </w:rPr>
  </w:style>
  <w:style w:type="paragraph" w:customStyle="1" w:styleId="headlineheader">
    <w:name w:val="headline header"/>
    <w:basedOn w:val="textregular"/>
    <w:uiPriority w:val="99"/>
    <w:rsid w:val="007A686E"/>
    <w:pPr>
      <w:spacing w:after="280" w:line="600" w:lineRule="exact"/>
    </w:pPr>
    <w:rPr>
      <w:rFonts w:ascii="Arial" w:hAnsi="Arial" w:cs="Arial"/>
      <w:b/>
      <w:bCs/>
      <w:color w:val="23236E"/>
      <w:sz w:val="57"/>
      <w:szCs w:val="57"/>
    </w:rPr>
  </w:style>
  <w:style w:type="paragraph" w:customStyle="1" w:styleId="textheader">
    <w:name w:val="text header"/>
    <w:basedOn w:val="textregular"/>
    <w:uiPriority w:val="99"/>
    <w:rsid w:val="00B30D59"/>
    <w:pPr>
      <w:spacing w:after="400" w:line="500" w:lineRule="exact"/>
    </w:pPr>
    <w:rPr>
      <w:rFonts w:ascii="Arial" w:hAnsi="Arial" w:cs="Arial"/>
      <w:color w:val="23236E"/>
      <w:sz w:val="40"/>
      <w:szCs w:val="40"/>
      <w:lang w:val="en-US"/>
    </w:rPr>
  </w:style>
  <w:style w:type="paragraph" w:customStyle="1" w:styleId="time">
    <w:name w:val="time"/>
    <w:basedOn w:val="textregular"/>
    <w:uiPriority w:val="99"/>
    <w:rsid w:val="007A686E"/>
    <w:pPr>
      <w:framePr w:hSpace="142" w:vSpace="5528" w:wrap="auto" w:vAnchor="page" w:hAnchor="page" w:x="1362" w:y="5104"/>
      <w:spacing w:after="0" w:line="320" w:lineRule="exact"/>
    </w:pPr>
    <w:rPr>
      <w:rFonts w:ascii="Arial" w:hAnsi="Arial" w:cs="Arial"/>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99"/>
    <w:rsid w:val="000F693C"/>
    <w:pPr>
      <w:spacing w:before="400" w:line="340" w:lineRule="exact"/>
      <w:outlineLvl w:val="0"/>
    </w:pPr>
    <w:rPr>
      <w:rFonts w:ascii="Arial" w:hAnsi="Arial" w:cs="Arial"/>
      <w:b/>
      <w:bCs/>
      <w:color w:val="23236E"/>
      <w:sz w:val="28"/>
      <w:szCs w:val="28"/>
    </w:rPr>
  </w:style>
  <w:style w:type="paragraph" w:styleId="TOC1">
    <w:name w:val="toc 1"/>
    <w:basedOn w:val="Normal"/>
    <w:next w:val="Normal"/>
    <w:autoRedefine/>
    <w:uiPriority w:val="99"/>
    <w:semiHidden/>
    <w:rsid w:val="00CC7B09"/>
    <w:pPr>
      <w:tabs>
        <w:tab w:val="right" w:leader="dot" w:pos="9514"/>
      </w:tabs>
      <w:spacing w:after="100"/>
    </w:pPr>
    <w:rPr>
      <w:rFonts w:ascii="Arial" w:hAnsi="Arial" w:cs="Arial"/>
    </w:rPr>
  </w:style>
  <w:style w:type="paragraph" w:styleId="TOCHeading">
    <w:name w:val="TOC Heading"/>
    <w:basedOn w:val="Heading1"/>
    <w:next w:val="Normal"/>
    <w:uiPriority w:val="99"/>
    <w:qFormat/>
    <w:rsid w:val="004B6993"/>
    <w:pPr>
      <w:spacing w:line="276" w:lineRule="auto"/>
      <w:outlineLvl w:val="9"/>
    </w:pPr>
  </w:style>
  <w:style w:type="character" w:styleId="Hyperlink">
    <w:name w:val="Hyperlink"/>
    <w:basedOn w:val="DefaultParagraphFont"/>
    <w:uiPriority w:val="99"/>
    <w:rsid w:val="0099378F"/>
    <w:rPr>
      <w:color w:val="0000FF"/>
      <w:u w:val="single"/>
    </w:rPr>
  </w:style>
  <w:style w:type="paragraph" w:customStyle="1" w:styleId="decisionhead">
    <w:name w:val="decision head"/>
    <w:basedOn w:val="textregular"/>
    <w:uiPriority w:val="99"/>
    <w:rsid w:val="00CD009F"/>
    <w:pPr>
      <w:pBdr>
        <w:top w:val="single" w:sz="24" w:space="1" w:color="B4B4C8"/>
        <w:left w:val="single" w:sz="24" w:space="4" w:color="B4B4C8"/>
        <w:bottom w:val="single" w:sz="24" w:space="1" w:color="B4B4C8"/>
        <w:right w:val="single" w:sz="24" w:space="4" w:color="B4B4C8"/>
      </w:pBdr>
      <w:shd w:val="clear" w:color="auto" w:fill="B4B4C8"/>
      <w:spacing w:after="0" w:line="260" w:lineRule="exact"/>
      <w:ind w:left="170" w:right="170"/>
    </w:pPr>
    <w:rPr>
      <w:rFonts w:ascii="Arial" w:hAnsi="Arial" w:cs="Arial"/>
      <w:b/>
      <w:bCs/>
      <w:color w:val="23236E"/>
      <w:sz w:val="24"/>
      <w:szCs w:val="24"/>
    </w:rPr>
  </w:style>
  <w:style w:type="paragraph" w:customStyle="1" w:styleId="decisionbullet1">
    <w:name w:val="decision bullet 1"/>
    <w:basedOn w:val="textregular"/>
    <w:uiPriority w:val="99"/>
    <w:rsid w:val="00CD009F"/>
    <w:pPr>
      <w:numPr>
        <w:numId w:val="2"/>
      </w:numPr>
      <w:pBdr>
        <w:top w:val="single" w:sz="24" w:space="0" w:color="B4B4C8"/>
        <w:left w:val="single" w:sz="24" w:space="4" w:color="B4B4C8"/>
        <w:bottom w:val="single" w:sz="24" w:space="0" w:color="B4B4C8"/>
        <w:right w:val="single" w:sz="24" w:space="4" w:color="B4B4C8"/>
      </w:pBdr>
      <w:shd w:val="clear" w:color="auto" w:fill="B4B4C8"/>
      <w:spacing w:after="0"/>
      <w:ind w:left="499" w:right="170"/>
    </w:pPr>
  </w:style>
  <w:style w:type="paragraph" w:customStyle="1" w:styleId="decisionbullet2">
    <w:name w:val="decision bullet 2"/>
    <w:basedOn w:val="textregular"/>
    <w:uiPriority w:val="99"/>
    <w:rsid w:val="00B30D59"/>
    <w:pPr>
      <w:numPr>
        <w:ilvl w:val="1"/>
        <w:numId w:val="2"/>
      </w:numPr>
      <w:pBdr>
        <w:top w:val="single" w:sz="24" w:space="1" w:color="B4B4C8"/>
        <w:left w:val="single" w:sz="24" w:space="21" w:color="B4B4C8"/>
        <w:bottom w:val="single" w:sz="24" w:space="1" w:color="B4B4C8"/>
        <w:right w:val="single" w:sz="24" w:space="4" w:color="B4B4C8"/>
      </w:pBdr>
      <w:shd w:val="clear" w:color="auto" w:fill="B4B4C8"/>
      <w:spacing w:after="0"/>
      <w:ind w:left="851" w:right="170" w:hanging="369"/>
    </w:pPr>
  </w:style>
  <w:style w:type="paragraph" w:customStyle="1" w:styleId="headline3">
    <w:name w:val="headline 3"/>
    <w:basedOn w:val="textregular"/>
    <w:uiPriority w:val="99"/>
    <w:rsid w:val="000F693C"/>
    <w:pPr>
      <w:spacing w:after="20"/>
      <w:outlineLvl w:val="2"/>
    </w:pPr>
    <w:rPr>
      <w:b/>
      <w:bCs/>
    </w:rPr>
  </w:style>
  <w:style w:type="paragraph" w:customStyle="1" w:styleId="textenumeration">
    <w:name w:val="text enumeration"/>
    <w:basedOn w:val="textregular"/>
    <w:uiPriority w:val="99"/>
    <w:rsid w:val="00E7480B"/>
    <w:pPr>
      <w:numPr>
        <w:numId w:val="3"/>
      </w:numPr>
    </w:pPr>
  </w:style>
  <w:style w:type="paragraph" w:customStyle="1" w:styleId="headline2">
    <w:name w:val="headline 2"/>
    <w:basedOn w:val="textregular"/>
    <w:uiPriority w:val="99"/>
    <w:rsid w:val="000F693C"/>
    <w:pPr>
      <w:spacing w:line="260" w:lineRule="exact"/>
      <w:outlineLvl w:val="1"/>
    </w:pPr>
    <w:rPr>
      <w:rFonts w:ascii="Arial" w:hAnsi="Arial" w:cs="Arial"/>
      <w:b/>
      <w:bCs/>
      <w:color w:val="23236E"/>
      <w:sz w:val="24"/>
      <w:szCs w:val="24"/>
    </w:rPr>
  </w:style>
  <w:style w:type="paragraph" w:customStyle="1" w:styleId="textbullets">
    <w:name w:val="text bullets"/>
    <w:basedOn w:val="textregular"/>
    <w:uiPriority w:val="99"/>
    <w:rsid w:val="000961F8"/>
    <w:pPr>
      <w:numPr>
        <w:numId w:val="4"/>
      </w:numPr>
    </w:pPr>
  </w:style>
  <w:style w:type="table" w:customStyle="1" w:styleId="EntsoeeinfacheTabelle">
    <w:name w:val="Entsoe | einfache Tabelle"/>
    <w:uiPriority w:val="99"/>
    <w:rsid w:val="00922A3D"/>
    <w:rPr>
      <w:sz w:val="20"/>
      <w:szCs w:val="20"/>
      <w:lang w:val="el-GR" w:eastAsia="el-GR"/>
    </w:rPr>
    <w:tblPr>
      <w:tblStyleRowBandSize w:val="1"/>
      <w:tblBorders>
        <w:insideV w:val="single" w:sz="12" w:space="0" w:color="FFFFFF"/>
      </w:tblBorders>
      <w:tblCellMar>
        <w:top w:w="28" w:type="dxa"/>
        <w:left w:w="108" w:type="dxa"/>
        <w:bottom w:w="0" w:type="dxa"/>
        <w:right w:w="108" w:type="dxa"/>
      </w:tblCellMar>
    </w:tblPr>
    <w:tblStylePr w:type="firstRow">
      <w:pPr>
        <w:spacing w:afterLines="0" w:afterAutospacing="0" w:line="340" w:lineRule="exact"/>
      </w:pPr>
      <w:rPr>
        <w:rFonts w:ascii="Arial" w:hAnsi="Arial" w:cs="Arial"/>
        <w:b/>
        <w:bCs/>
        <w:color w:val="23236E"/>
        <w:sz w:val="28"/>
        <w:szCs w:val="28"/>
      </w:rPr>
    </w:tblStylePr>
    <w:tblStylePr w:type="band1Horz">
      <w:tblPr/>
      <w:tcPr>
        <w:shd w:val="clear" w:color="auto" w:fill="D9D9D9"/>
      </w:tcPr>
    </w:tblStylePr>
  </w:style>
  <w:style w:type="paragraph" w:customStyle="1" w:styleId="footnote1">
    <w:name w:val="footnote 1"/>
    <w:basedOn w:val="textregular"/>
    <w:uiPriority w:val="99"/>
    <w:rsid w:val="007E6984"/>
    <w:pPr>
      <w:pBdr>
        <w:top w:val="single" w:sz="8" w:space="11" w:color="auto"/>
      </w:pBdr>
      <w:spacing w:after="0"/>
    </w:pPr>
    <w:rPr>
      <w:sz w:val="19"/>
      <w:szCs w:val="19"/>
    </w:rPr>
  </w:style>
  <w:style w:type="paragraph" w:customStyle="1" w:styleId="footnote2">
    <w:name w:val="footnote 2"/>
    <w:basedOn w:val="textregular"/>
    <w:uiPriority w:val="99"/>
    <w:rsid w:val="007E6984"/>
    <w:pPr>
      <w:spacing w:after="0"/>
    </w:pPr>
    <w:rPr>
      <w:sz w:val="19"/>
      <w:szCs w:val="19"/>
    </w:rPr>
  </w:style>
  <w:style w:type="paragraph" w:styleId="TOC3">
    <w:name w:val="toc 3"/>
    <w:basedOn w:val="Normal"/>
    <w:next w:val="Normal"/>
    <w:autoRedefine/>
    <w:uiPriority w:val="99"/>
    <w:semiHidden/>
    <w:rsid w:val="000F693C"/>
    <w:pPr>
      <w:spacing w:after="100"/>
      <w:ind w:left="440"/>
    </w:pPr>
  </w:style>
  <w:style w:type="paragraph" w:styleId="TOC2">
    <w:name w:val="toc 2"/>
    <w:basedOn w:val="Normal"/>
    <w:next w:val="Normal"/>
    <w:autoRedefine/>
    <w:uiPriority w:val="99"/>
    <w:semiHidden/>
    <w:rsid w:val="000F693C"/>
    <w:pPr>
      <w:spacing w:after="100"/>
      <w:ind w:left="220"/>
    </w:pPr>
  </w:style>
  <w:style w:type="paragraph" w:styleId="ListParagraph">
    <w:name w:val="List Paragraph"/>
    <w:aliases w:val="F List Paragraph"/>
    <w:basedOn w:val="Normal"/>
    <w:link w:val="ListParagraphChar"/>
    <w:uiPriority w:val="99"/>
    <w:qFormat/>
    <w:rsid w:val="00ED0C1C"/>
    <w:pPr>
      <w:spacing w:after="200"/>
      <w:jc w:val="both"/>
    </w:pPr>
    <w:rPr>
      <w:rFonts w:ascii="Calibri" w:hAnsi="Calibri" w:cs="Calibri"/>
    </w:rPr>
  </w:style>
  <w:style w:type="character" w:customStyle="1" w:styleId="ListParagraphChar">
    <w:name w:val="List Paragraph Char"/>
    <w:aliases w:val="F List Paragraph Char"/>
    <w:basedOn w:val="DefaultParagraphFont"/>
    <w:link w:val="ListParagraph"/>
    <w:uiPriority w:val="99"/>
    <w:locked/>
    <w:rsid w:val="00ED0C1C"/>
    <w:rPr>
      <w:rFonts w:ascii="Calibri" w:eastAsia="Times New Roman" w:hAnsi="Calibri" w:cs="Calibri"/>
      <w:lang w:val="en-GB"/>
    </w:rPr>
  </w:style>
  <w:style w:type="paragraph" w:styleId="NormalWeb">
    <w:name w:val="Normal (Web)"/>
    <w:basedOn w:val="Normal"/>
    <w:uiPriority w:val="99"/>
    <w:rsid w:val="00F06B36"/>
    <w:pPr>
      <w:spacing w:before="100" w:beforeAutospacing="1" w:after="100" w:afterAutospacing="1"/>
    </w:pPr>
    <w:rPr>
      <w:sz w:val="24"/>
      <w:szCs w:val="24"/>
      <w:lang w:val="cs-CZ" w:eastAsia="cs-CZ"/>
    </w:rPr>
  </w:style>
  <w:style w:type="character" w:styleId="CommentReference">
    <w:name w:val="annotation reference"/>
    <w:aliases w:val="Stinking Styles6,Marque de commentaire1"/>
    <w:basedOn w:val="DefaultParagraphFont"/>
    <w:uiPriority w:val="99"/>
    <w:semiHidden/>
    <w:rsid w:val="003D68E6"/>
    <w:rPr>
      <w:sz w:val="16"/>
      <w:szCs w:val="16"/>
    </w:rPr>
  </w:style>
  <w:style w:type="paragraph" w:styleId="CommentText">
    <w:name w:val="annotation text"/>
    <w:basedOn w:val="Normal"/>
    <w:link w:val="CommentTextChar"/>
    <w:uiPriority w:val="99"/>
    <w:semiHidden/>
    <w:rsid w:val="003D68E6"/>
    <w:rPr>
      <w:sz w:val="20"/>
      <w:szCs w:val="20"/>
    </w:rPr>
  </w:style>
  <w:style w:type="character" w:customStyle="1" w:styleId="CommentTextChar">
    <w:name w:val="Comment Text Char"/>
    <w:basedOn w:val="DefaultParagraphFont"/>
    <w:link w:val="CommentText"/>
    <w:uiPriority w:val="99"/>
    <w:locked/>
    <w:rsid w:val="003D68E6"/>
    <w:rPr>
      <w:sz w:val="20"/>
      <w:szCs w:val="20"/>
      <w:lang w:val="en-GB"/>
    </w:rPr>
  </w:style>
  <w:style w:type="paragraph" w:styleId="CommentSubject">
    <w:name w:val="annotation subject"/>
    <w:basedOn w:val="CommentText"/>
    <w:next w:val="CommentText"/>
    <w:link w:val="CommentSubjectChar"/>
    <w:uiPriority w:val="99"/>
    <w:semiHidden/>
    <w:rsid w:val="003D68E6"/>
    <w:rPr>
      <w:b/>
      <w:bCs/>
    </w:rPr>
  </w:style>
  <w:style w:type="character" w:customStyle="1" w:styleId="CommentSubjectChar">
    <w:name w:val="Comment Subject Char"/>
    <w:basedOn w:val="CommentTextChar"/>
    <w:link w:val="CommentSubject"/>
    <w:uiPriority w:val="99"/>
    <w:semiHidden/>
    <w:locked/>
    <w:rsid w:val="003D68E6"/>
    <w:rPr>
      <w:b/>
      <w:bCs/>
      <w:sz w:val="20"/>
      <w:szCs w:val="20"/>
      <w:lang w:val="en-GB"/>
    </w:rPr>
  </w:style>
  <w:style w:type="paragraph" w:customStyle="1" w:styleId="Default">
    <w:name w:val="Default"/>
    <w:uiPriority w:val="99"/>
    <w:rsid w:val="00160131"/>
    <w:pPr>
      <w:autoSpaceDE w:val="0"/>
      <w:autoSpaceDN w:val="0"/>
      <w:adjustRightInd w:val="0"/>
    </w:pPr>
    <w:rPr>
      <w:color w:val="000000"/>
      <w:sz w:val="24"/>
      <w:szCs w:val="24"/>
      <w:lang w:val="cs-CZ"/>
    </w:rPr>
  </w:style>
  <w:style w:type="table" w:customStyle="1" w:styleId="TableGrid1">
    <w:name w:val="Table Grid1"/>
    <w:uiPriority w:val="99"/>
    <w:rsid w:val="0027115B"/>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E25E1"/>
    <w:rPr>
      <w:color w:val="800080"/>
      <w:u w:val="single"/>
    </w:rPr>
  </w:style>
  <w:style w:type="paragraph" w:customStyle="1" w:styleId="Sub-articlenumbered">
    <w:name w:val="Sub-article numbered"/>
    <w:basedOn w:val="ListParagraph"/>
    <w:uiPriority w:val="99"/>
    <w:rsid w:val="00F54108"/>
    <w:pPr>
      <w:spacing w:before="240" w:after="240" w:line="259" w:lineRule="auto"/>
      <w:ind w:left="502" w:hanging="360"/>
    </w:pPr>
    <w:rPr>
      <w:rFonts w:ascii="Times New Roman" w:hAnsi="Times New Roman" w:cs="Times New Roman"/>
      <w:lang w:val="fi-FI"/>
    </w:rPr>
  </w:style>
  <w:style w:type="paragraph" w:styleId="FootnoteText">
    <w:name w:val="footnote text"/>
    <w:basedOn w:val="Normal"/>
    <w:link w:val="FootnoteTextChar"/>
    <w:uiPriority w:val="99"/>
    <w:semiHidden/>
    <w:rsid w:val="00F47444"/>
    <w:rPr>
      <w:sz w:val="20"/>
      <w:szCs w:val="20"/>
    </w:rPr>
  </w:style>
  <w:style w:type="character" w:customStyle="1" w:styleId="FootnoteTextChar">
    <w:name w:val="Footnote Text Char"/>
    <w:basedOn w:val="DefaultParagraphFont"/>
    <w:link w:val="FootnoteText"/>
    <w:uiPriority w:val="99"/>
    <w:semiHidden/>
    <w:locked/>
    <w:rsid w:val="00F47444"/>
    <w:rPr>
      <w:sz w:val="20"/>
      <w:szCs w:val="20"/>
      <w:lang w:val="en-GB"/>
    </w:rPr>
  </w:style>
  <w:style w:type="character" w:styleId="FootnoteReference">
    <w:name w:val="footnote reference"/>
    <w:basedOn w:val="DefaultParagraphFont"/>
    <w:uiPriority w:val="99"/>
    <w:semiHidden/>
    <w:rsid w:val="00F47444"/>
    <w:rPr>
      <w:vertAlign w:val="superscript"/>
    </w:rPr>
  </w:style>
  <w:style w:type="paragraph" w:customStyle="1" w:styleId="BArticleNo">
    <w:name w:val="B Article No"/>
    <w:basedOn w:val="Normal"/>
    <w:next w:val="Normal"/>
    <w:link w:val="BArticleNoChar"/>
    <w:uiPriority w:val="99"/>
    <w:rsid w:val="00E327BA"/>
    <w:pPr>
      <w:keepNext/>
      <w:adjustRightInd w:val="0"/>
      <w:spacing w:after="120"/>
      <w:jc w:val="center"/>
      <w:textAlignment w:val="baseline"/>
      <w:outlineLvl w:val="1"/>
    </w:pPr>
    <w:rPr>
      <w:rFonts w:ascii="Calibri" w:hAnsi="Calibri" w:cs="Calibri"/>
      <w:b/>
      <w:bCs/>
      <w:color w:val="000000"/>
      <w:sz w:val="20"/>
      <w:szCs w:val="20"/>
      <w:lang w:eastAsia="de-DE"/>
    </w:rPr>
  </w:style>
  <w:style w:type="character" w:customStyle="1" w:styleId="BArticleNoChar">
    <w:name w:val="B Article No Char"/>
    <w:link w:val="BArticleNo"/>
    <w:uiPriority w:val="99"/>
    <w:locked/>
    <w:rsid w:val="00E327BA"/>
    <w:rPr>
      <w:rFonts w:ascii="Calibri" w:hAnsi="Calibri" w:cs="Calibri"/>
      <w:b/>
      <w:bCs/>
      <w:color w:val="000000"/>
      <w:sz w:val="24"/>
      <w:szCs w:val="24"/>
      <w:lang w:val="en-GB" w:eastAsia="de-DE"/>
    </w:rPr>
  </w:style>
  <w:style w:type="character" w:customStyle="1" w:styleId="fontstyle01">
    <w:name w:val="fontstyle01"/>
    <w:basedOn w:val="DefaultParagraphFont"/>
    <w:uiPriority w:val="99"/>
    <w:rsid w:val="00FA0B59"/>
    <w:rPr>
      <w:rFonts w:ascii="ArialMT" w:hAnsi="ArialMT" w:cs="ArialMT"/>
      <w:color w:val="000000"/>
      <w:sz w:val="22"/>
      <w:szCs w:val="22"/>
    </w:rPr>
  </w:style>
  <w:style w:type="numbering" w:customStyle="1" w:styleId="XXXtextbullets">
    <w:name w:val="XXX_text bullets"/>
    <w:rsid w:val="00710D10"/>
    <w:pPr>
      <w:numPr>
        <w:numId w:val="4"/>
      </w:numPr>
    </w:pPr>
  </w:style>
  <w:style w:type="numbering" w:customStyle="1" w:styleId="XXXNummerierung">
    <w:name w:val="XXX_Nummerierung"/>
    <w:rsid w:val="00710D10"/>
    <w:pPr>
      <w:numPr>
        <w:numId w:val="3"/>
      </w:numPr>
    </w:pPr>
  </w:style>
  <w:style w:type="numbering" w:customStyle="1" w:styleId="XXXList">
    <w:name w:val="XXX_List"/>
    <w:rsid w:val="00710D10"/>
    <w:pPr>
      <w:numPr>
        <w:numId w:val="1"/>
      </w:numPr>
    </w:pPr>
  </w:style>
  <w:style w:type="numbering" w:customStyle="1" w:styleId="XXXBulletList">
    <w:name w:val="XXX_Bullet List"/>
    <w:rsid w:val="00710D10"/>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C7052"/>
    <w:rPr>
      <w:lang w:val="en-GB"/>
    </w:rPr>
  </w:style>
  <w:style w:type="paragraph" w:styleId="Heading1">
    <w:name w:val="heading 1"/>
    <w:basedOn w:val="Normal"/>
    <w:next w:val="Normal"/>
    <w:link w:val="Heading1Char"/>
    <w:uiPriority w:val="99"/>
    <w:qFormat/>
    <w:rsid w:val="004B6993"/>
    <w:pPr>
      <w:keepNext/>
      <w:keepLines/>
      <w:spacing w:before="480"/>
      <w:outlineLvl w:val="0"/>
    </w:pPr>
    <w:rPr>
      <w:rFonts w:ascii="Arial" w:hAnsi="Arial" w:cs="Arial"/>
      <w:b/>
      <w:bCs/>
      <w:color w:val="42447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4B6993"/>
    <w:rPr>
      <w:rFonts w:ascii="Arial" w:hAnsi="Arial" w:cs="Arial"/>
      <w:b/>
      <w:bCs/>
      <w:color w:val="424477"/>
      <w:sz w:val="28"/>
      <w:szCs w:val="28"/>
    </w:rPr>
  </w:style>
  <w:style w:type="table" w:styleId="TableGrid">
    <w:name w:val="Table Grid"/>
    <w:basedOn w:val="TableNormal"/>
    <w:uiPriority w:val="99"/>
    <w:rsid w:val="007F4F0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uiPriority w:val="99"/>
    <w:rsid w:val="00F46084"/>
    <w:pPr>
      <w:spacing w:after="120"/>
    </w:pPr>
  </w:style>
  <w:style w:type="paragraph" w:styleId="Header">
    <w:name w:val="header"/>
    <w:basedOn w:val="Normal"/>
    <w:link w:val="HeaderChar"/>
    <w:uiPriority w:val="99"/>
    <w:rsid w:val="00B04144"/>
    <w:pPr>
      <w:tabs>
        <w:tab w:val="center" w:pos="4536"/>
        <w:tab w:val="right" w:pos="9072"/>
      </w:tabs>
    </w:pPr>
  </w:style>
  <w:style w:type="character" w:customStyle="1" w:styleId="HeaderChar">
    <w:name w:val="Header Char"/>
    <w:basedOn w:val="DefaultParagraphFont"/>
    <w:link w:val="Header"/>
    <w:uiPriority w:val="99"/>
    <w:locked/>
    <w:rsid w:val="00B04144"/>
  </w:style>
  <w:style w:type="paragraph" w:styleId="Footer">
    <w:name w:val="footer"/>
    <w:basedOn w:val="Normal"/>
    <w:link w:val="FooterChar"/>
    <w:uiPriority w:val="99"/>
    <w:semiHidden/>
    <w:rsid w:val="00B04144"/>
    <w:pPr>
      <w:tabs>
        <w:tab w:val="center" w:pos="4536"/>
        <w:tab w:val="right" w:pos="9072"/>
      </w:tabs>
    </w:pPr>
  </w:style>
  <w:style w:type="character" w:customStyle="1" w:styleId="FooterChar">
    <w:name w:val="Footer Char"/>
    <w:basedOn w:val="DefaultParagraphFont"/>
    <w:link w:val="Footer"/>
    <w:uiPriority w:val="99"/>
    <w:semiHidden/>
    <w:locked/>
    <w:rsid w:val="00CD009F"/>
    <w:rPr>
      <w:lang w:val="en-GB"/>
    </w:rPr>
  </w:style>
  <w:style w:type="paragraph" w:styleId="BalloonText">
    <w:name w:val="Balloon Text"/>
    <w:basedOn w:val="Normal"/>
    <w:link w:val="BalloonTextChar"/>
    <w:uiPriority w:val="99"/>
    <w:semiHidden/>
    <w:rsid w:val="00B041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4144"/>
    <w:rPr>
      <w:rFonts w:ascii="Tahoma" w:hAnsi="Tahoma" w:cs="Tahoma"/>
      <w:sz w:val="16"/>
      <w:szCs w:val="16"/>
    </w:rPr>
  </w:style>
  <w:style w:type="paragraph" w:customStyle="1" w:styleId="headlineheader">
    <w:name w:val="headline header"/>
    <w:basedOn w:val="textregular"/>
    <w:uiPriority w:val="99"/>
    <w:rsid w:val="007A686E"/>
    <w:pPr>
      <w:spacing w:after="280" w:line="600" w:lineRule="exact"/>
    </w:pPr>
    <w:rPr>
      <w:rFonts w:ascii="Arial" w:hAnsi="Arial" w:cs="Arial"/>
      <w:b/>
      <w:bCs/>
      <w:color w:val="23236E"/>
      <w:sz w:val="57"/>
      <w:szCs w:val="57"/>
    </w:rPr>
  </w:style>
  <w:style w:type="paragraph" w:customStyle="1" w:styleId="textheader">
    <w:name w:val="text header"/>
    <w:basedOn w:val="textregular"/>
    <w:uiPriority w:val="99"/>
    <w:rsid w:val="00B30D59"/>
    <w:pPr>
      <w:spacing w:after="400" w:line="500" w:lineRule="exact"/>
    </w:pPr>
    <w:rPr>
      <w:rFonts w:ascii="Arial" w:hAnsi="Arial" w:cs="Arial"/>
      <w:color w:val="23236E"/>
      <w:sz w:val="40"/>
      <w:szCs w:val="40"/>
      <w:lang w:val="en-US"/>
    </w:rPr>
  </w:style>
  <w:style w:type="paragraph" w:customStyle="1" w:styleId="time">
    <w:name w:val="time"/>
    <w:basedOn w:val="textregular"/>
    <w:uiPriority w:val="99"/>
    <w:rsid w:val="007A686E"/>
    <w:pPr>
      <w:framePr w:hSpace="142" w:vSpace="5528" w:wrap="auto" w:vAnchor="page" w:hAnchor="page" w:x="1362" w:y="5104"/>
      <w:spacing w:after="0" w:line="320" w:lineRule="exact"/>
    </w:pPr>
    <w:rPr>
      <w:rFonts w:ascii="Arial" w:hAnsi="Arial" w:cs="Arial"/>
      <w:sz w:val="29"/>
      <w:szCs w:val="29"/>
      <w:lang w:val="en-US"/>
    </w:rPr>
  </w:style>
  <w:style w:type="character" w:styleId="PlaceholderText">
    <w:name w:val="Placeholder Text"/>
    <w:basedOn w:val="DefaultParagraphFont"/>
    <w:uiPriority w:val="99"/>
    <w:semiHidden/>
    <w:rsid w:val="00903B95"/>
    <w:rPr>
      <w:color w:val="808080"/>
    </w:rPr>
  </w:style>
  <w:style w:type="paragraph" w:customStyle="1" w:styleId="headline1">
    <w:name w:val="headline 1"/>
    <w:basedOn w:val="textregular"/>
    <w:uiPriority w:val="99"/>
    <w:rsid w:val="000F693C"/>
    <w:pPr>
      <w:spacing w:before="400" w:line="340" w:lineRule="exact"/>
      <w:outlineLvl w:val="0"/>
    </w:pPr>
    <w:rPr>
      <w:rFonts w:ascii="Arial" w:hAnsi="Arial" w:cs="Arial"/>
      <w:b/>
      <w:bCs/>
      <w:color w:val="23236E"/>
      <w:sz w:val="28"/>
      <w:szCs w:val="28"/>
    </w:rPr>
  </w:style>
  <w:style w:type="paragraph" w:styleId="TOC1">
    <w:name w:val="toc 1"/>
    <w:basedOn w:val="Normal"/>
    <w:next w:val="Normal"/>
    <w:autoRedefine/>
    <w:uiPriority w:val="99"/>
    <w:semiHidden/>
    <w:rsid w:val="00CC7B09"/>
    <w:pPr>
      <w:tabs>
        <w:tab w:val="right" w:leader="dot" w:pos="9514"/>
      </w:tabs>
      <w:spacing w:after="100"/>
    </w:pPr>
    <w:rPr>
      <w:rFonts w:ascii="Arial" w:hAnsi="Arial" w:cs="Arial"/>
    </w:rPr>
  </w:style>
  <w:style w:type="paragraph" w:styleId="TOCHeading">
    <w:name w:val="TOC Heading"/>
    <w:basedOn w:val="Heading1"/>
    <w:next w:val="Normal"/>
    <w:uiPriority w:val="99"/>
    <w:qFormat/>
    <w:rsid w:val="004B6993"/>
    <w:pPr>
      <w:spacing w:line="276" w:lineRule="auto"/>
      <w:outlineLvl w:val="9"/>
    </w:pPr>
  </w:style>
  <w:style w:type="character" w:styleId="Hyperlink">
    <w:name w:val="Hyperlink"/>
    <w:basedOn w:val="DefaultParagraphFont"/>
    <w:uiPriority w:val="99"/>
    <w:rsid w:val="0099378F"/>
    <w:rPr>
      <w:color w:val="0000FF"/>
      <w:u w:val="single"/>
    </w:rPr>
  </w:style>
  <w:style w:type="paragraph" w:customStyle="1" w:styleId="decisionhead">
    <w:name w:val="decision head"/>
    <w:basedOn w:val="textregular"/>
    <w:uiPriority w:val="99"/>
    <w:rsid w:val="00CD009F"/>
    <w:pPr>
      <w:pBdr>
        <w:top w:val="single" w:sz="24" w:space="1" w:color="B4B4C8"/>
        <w:left w:val="single" w:sz="24" w:space="4" w:color="B4B4C8"/>
        <w:bottom w:val="single" w:sz="24" w:space="1" w:color="B4B4C8"/>
        <w:right w:val="single" w:sz="24" w:space="4" w:color="B4B4C8"/>
      </w:pBdr>
      <w:shd w:val="clear" w:color="auto" w:fill="B4B4C8"/>
      <w:spacing w:after="0" w:line="260" w:lineRule="exact"/>
      <w:ind w:left="170" w:right="170"/>
    </w:pPr>
    <w:rPr>
      <w:rFonts w:ascii="Arial" w:hAnsi="Arial" w:cs="Arial"/>
      <w:b/>
      <w:bCs/>
      <w:color w:val="23236E"/>
      <w:sz w:val="24"/>
      <w:szCs w:val="24"/>
    </w:rPr>
  </w:style>
  <w:style w:type="paragraph" w:customStyle="1" w:styleId="decisionbullet1">
    <w:name w:val="decision bullet 1"/>
    <w:basedOn w:val="textregular"/>
    <w:uiPriority w:val="99"/>
    <w:rsid w:val="00CD009F"/>
    <w:pPr>
      <w:numPr>
        <w:numId w:val="2"/>
      </w:numPr>
      <w:pBdr>
        <w:top w:val="single" w:sz="24" w:space="0" w:color="B4B4C8"/>
        <w:left w:val="single" w:sz="24" w:space="4" w:color="B4B4C8"/>
        <w:bottom w:val="single" w:sz="24" w:space="0" w:color="B4B4C8"/>
        <w:right w:val="single" w:sz="24" w:space="4" w:color="B4B4C8"/>
      </w:pBdr>
      <w:shd w:val="clear" w:color="auto" w:fill="B4B4C8"/>
      <w:spacing w:after="0"/>
      <w:ind w:left="499" w:right="170"/>
    </w:pPr>
  </w:style>
  <w:style w:type="paragraph" w:customStyle="1" w:styleId="decisionbullet2">
    <w:name w:val="decision bullet 2"/>
    <w:basedOn w:val="textregular"/>
    <w:uiPriority w:val="99"/>
    <w:rsid w:val="00B30D59"/>
    <w:pPr>
      <w:numPr>
        <w:ilvl w:val="1"/>
        <w:numId w:val="2"/>
      </w:numPr>
      <w:pBdr>
        <w:top w:val="single" w:sz="24" w:space="1" w:color="B4B4C8"/>
        <w:left w:val="single" w:sz="24" w:space="21" w:color="B4B4C8"/>
        <w:bottom w:val="single" w:sz="24" w:space="1" w:color="B4B4C8"/>
        <w:right w:val="single" w:sz="24" w:space="4" w:color="B4B4C8"/>
      </w:pBdr>
      <w:shd w:val="clear" w:color="auto" w:fill="B4B4C8"/>
      <w:spacing w:after="0"/>
      <w:ind w:left="851" w:right="170" w:hanging="369"/>
    </w:pPr>
  </w:style>
  <w:style w:type="paragraph" w:customStyle="1" w:styleId="headline3">
    <w:name w:val="headline 3"/>
    <w:basedOn w:val="textregular"/>
    <w:uiPriority w:val="99"/>
    <w:rsid w:val="000F693C"/>
    <w:pPr>
      <w:spacing w:after="20"/>
      <w:outlineLvl w:val="2"/>
    </w:pPr>
    <w:rPr>
      <w:b/>
      <w:bCs/>
    </w:rPr>
  </w:style>
  <w:style w:type="paragraph" w:customStyle="1" w:styleId="textenumeration">
    <w:name w:val="text enumeration"/>
    <w:basedOn w:val="textregular"/>
    <w:uiPriority w:val="99"/>
    <w:rsid w:val="00E7480B"/>
    <w:pPr>
      <w:numPr>
        <w:numId w:val="3"/>
      </w:numPr>
    </w:pPr>
  </w:style>
  <w:style w:type="paragraph" w:customStyle="1" w:styleId="headline2">
    <w:name w:val="headline 2"/>
    <w:basedOn w:val="textregular"/>
    <w:uiPriority w:val="99"/>
    <w:rsid w:val="000F693C"/>
    <w:pPr>
      <w:spacing w:line="260" w:lineRule="exact"/>
      <w:outlineLvl w:val="1"/>
    </w:pPr>
    <w:rPr>
      <w:rFonts w:ascii="Arial" w:hAnsi="Arial" w:cs="Arial"/>
      <w:b/>
      <w:bCs/>
      <w:color w:val="23236E"/>
      <w:sz w:val="24"/>
      <w:szCs w:val="24"/>
    </w:rPr>
  </w:style>
  <w:style w:type="paragraph" w:customStyle="1" w:styleId="textbullets">
    <w:name w:val="text bullets"/>
    <w:basedOn w:val="textregular"/>
    <w:uiPriority w:val="99"/>
    <w:rsid w:val="000961F8"/>
    <w:pPr>
      <w:numPr>
        <w:numId w:val="4"/>
      </w:numPr>
    </w:pPr>
  </w:style>
  <w:style w:type="table" w:customStyle="1" w:styleId="EntsoeeinfacheTabelle">
    <w:name w:val="Entsoe | einfache Tabelle"/>
    <w:uiPriority w:val="99"/>
    <w:rsid w:val="00922A3D"/>
    <w:rPr>
      <w:sz w:val="20"/>
      <w:szCs w:val="20"/>
      <w:lang w:val="el-GR" w:eastAsia="el-GR"/>
    </w:rPr>
    <w:tblPr>
      <w:tblStyleRowBandSize w:val="1"/>
      <w:tblBorders>
        <w:insideV w:val="single" w:sz="12" w:space="0" w:color="FFFFFF"/>
      </w:tblBorders>
      <w:tblCellMar>
        <w:top w:w="28" w:type="dxa"/>
        <w:left w:w="108" w:type="dxa"/>
        <w:bottom w:w="0" w:type="dxa"/>
        <w:right w:w="108" w:type="dxa"/>
      </w:tblCellMar>
    </w:tblPr>
    <w:tblStylePr w:type="firstRow">
      <w:pPr>
        <w:spacing w:afterLines="0" w:afterAutospacing="0" w:line="340" w:lineRule="exact"/>
      </w:pPr>
      <w:rPr>
        <w:rFonts w:ascii="Arial" w:hAnsi="Arial" w:cs="Arial"/>
        <w:b/>
        <w:bCs/>
        <w:color w:val="23236E"/>
        <w:sz w:val="28"/>
        <w:szCs w:val="28"/>
      </w:rPr>
    </w:tblStylePr>
    <w:tblStylePr w:type="band1Horz">
      <w:tblPr/>
      <w:tcPr>
        <w:shd w:val="clear" w:color="auto" w:fill="D9D9D9"/>
      </w:tcPr>
    </w:tblStylePr>
  </w:style>
  <w:style w:type="paragraph" w:customStyle="1" w:styleId="footnote1">
    <w:name w:val="footnote 1"/>
    <w:basedOn w:val="textregular"/>
    <w:uiPriority w:val="99"/>
    <w:rsid w:val="007E6984"/>
    <w:pPr>
      <w:pBdr>
        <w:top w:val="single" w:sz="8" w:space="11" w:color="auto"/>
      </w:pBdr>
      <w:spacing w:after="0"/>
    </w:pPr>
    <w:rPr>
      <w:sz w:val="19"/>
      <w:szCs w:val="19"/>
    </w:rPr>
  </w:style>
  <w:style w:type="paragraph" w:customStyle="1" w:styleId="footnote2">
    <w:name w:val="footnote 2"/>
    <w:basedOn w:val="textregular"/>
    <w:uiPriority w:val="99"/>
    <w:rsid w:val="007E6984"/>
    <w:pPr>
      <w:spacing w:after="0"/>
    </w:pPr>
    <w:rPr>
      <w:sz w:val="19"/>
      <w:szCs w:val="19"/>
    </w:rPr>
  </w:style>
  <w:style w:type="paragraph" w:styleId="TOC3">
    <w:name w:val="toc 3"/>
    <w:basedOn w:val="Normal"/>
    <w:next w:val="Normal"/>
    <w:autoRedefine/>
    <w:uiPriority w:val="99"/>
    <w:semiHidden/>
    <w:rsid w:val="000F693C"/>
    <w:pPr>
      <w:spacing w:after="100"/>
      <w:ind w:left="440"/>
    </w:pPr>
  </w:style>
  <w:style w:type="paragraph" w:styleId="TOC2">
    <w:name w:val="toc 2"/>
    <w:basedOn w:val="Normal"/>
    <w:next w:val="Normal"/>
    <w:autoRedefine/>
    <w:uiPriority w:val="99"/>
    <w:semiHidden/>
    <w:rsid w:val="000F693C"/>
    <w:pPr>
      <w:spacing w:after="100"/>
      <w:ind w:left="220"/>
    </w:pPr>
  </w:style>
  <w:style w:type="paragraph" w:styleId="ListParagraph">
    <w:name w:val="List Paragraph"/>
    <w:aliases w:val="F List Paragraph"/>
    <w:basedOn w:val="Normal"/>
    <w:link w:val="ListParagraphChar"/>
    <w:uiPriority w:val="99"/>
    <w:qFormat/>
    <w:rsid w:val="00ED0C1C"/>
    <w:pPr>
      <w:spacing w:after="200"/>
      <w:jc w:val="both"/>
    </w:pPr>
    <w:rPr>
      <w:rFonts w:ascii="Calibri" w:hAnsi="Calibri" w:cs="Calibri"/>
    </w:rPr>
  </w:style>
  <w:style w:type="character" w:customStyle="1" w:styleId="ListParagraphChar">
    <w:name w:val="List Paragraph Char"/>
    <w:aliases w:val="F List Paragraph Char"/>
    <w:basedOn w:val="DefaultParagraphFont"/>
    <w:link w:val="ListParagraph"/>
    <w:uiPriority w:val="99"/>
    <w:locked/>
    <w:rsid w:val="00ED0C1C"/>
    <w:rPr>
      <w:rFonts w:ascii="Calibri" w:eastAsia="Times New Roman" w:hAnsi="Calibri" w:cs="Calibri"/>
      <w:lang w:val="en-GB"/>
    </w:rPr>
  </w:style>
  <w:style w:type="paragraph" w:styleId="NormalWeb">
    <w:name w:val="Normal (Web)"/>
    <w:basedOn w:val="Normal"/>
    <w:uiPriority w:val="99"/>
    <w:rsid w:val="00F06B36"/>
    <w:pPr>
      <w:spacing w:before="100" w:beforeAutospacing="1" w:after="100" w:afterAutospacing="1"/>
    </w:pPr>
    <w:rPr>
      <w:sz w:val="24"/>
      <w:szCs w:val="24"/>
      <w:lang w:val="cs-CZ" w:eastAsia="cs-CZ"/>
    </w:rPr>
  </w:style>
  <w:style w:type="character" w:styleId="CommentReference">
    <w:name w:val="annotation reference"/>
    <w:aliases w:val="Stinking Styles6,Marque de commentaire1"/>
    <w:basedOn w:val="DefaultParagraphFont"/>
    <w:uiPriority w:val="99"/>
    <w:semiHidden/>
    <w:rsid w:val="003D68E6"/>
    <w:rPr>
      <w:sz w:val="16"/>
      <w:szCs w:val="16"/>
    </w:rPr>
  </w:style>
  <w:style w:type="paragraph" w:styleId="CommentText">
    <w:name w:val="annotation text"/>
    <w:basedOn w:val="Normal"/>
    <w:link w:val="CommentTextChar"/>
    <w:uiPriority w:val="99"/>
    <w:semiHidden/>
    <w:rsid w:val="003D68E6"/>
    <w:rPr>
      <w:sz w:val="20"/>
      <w:szCs w:val="20"/>
    </w:rPr>
  </w:style>
  <w:style w:type="character" w:customStyle="1" w:styleId="CommentTextChar">
    <w:name w:val="Comment Text Char"/>
    <w:basedOn w:val="DefaultParagraphFont"/>
    <w:link w:val="CommentText"/>
    <w:uiPriority w:val="99"/>
    <w:locked/>
    <w:rsid w:val="003D68E6"/>
    <w:rPr>
      <w:sz w:val="20"/>
      <w:szCs w:val="20"/>
      <w:lang w:val="en-GB"/>
    </w:rPr>
  </w:style>
  <w:style w:type="paragraph" w:styleId="CommentSubject">
    <w:name w:val="annotation subject"/>
    <w:basedOn w:val="CommentText"/>
    <w:next w:val="CommentText"/>
    <w:link w:val="CommentSubjectChar"/>
    <w:uiPriority w:val="99"/>
    <w:semiHidden/>
    <w:rsid w:val="003D68E6"/>
    <w:rPr>
      <w:b/>
      <w:bCs/>
    </w:rPr>
  </w:style>
  <w:style w:type="character" w:customStyle="1" w:styleId="CommentSubjectChar">
    <w:name w:val="Comment Subject Char"/>
    <w:basedOn w:val="CommentTextChar"/>
    <w:link w:val="CommentSubject"/>
    <w:uiPriority w:val="99"/>
    <w:semiHidden/>
    <w:locked/>
    <w:rsid w:val="003D68E6"/>
    <w:rPr>
      <w:b/>
      <w:bCs/>
      <w:sz w:val="20"/>
      <w:szCs w:val="20"/>
      <w:lang w:val="en-GB"/>
    </w:rPr>
  </w:style>
  <w:style w:type="paragraph" w:customStyle="1" w:styleId="Default">
    <w:name w:val="Default"/>
    <w:uiPriority w:val="99"/>
    <w:rsid w:val="00160131"/>
    <w:pPr>
      <w:autoSpaceDE w:val="0"/>
      <w:autoSpaceDN w:val="0"/>
      <w:adjustRightInd w:val="0"/>
    </w:pPr>
    <w:rPr>
      <w:color w:val="000000"/>
      <w:sz w:val="24"/>
      <w:szCs w:val="24"/>
      <w:lang w:val="cs-CZ"/>
    </w:rPr>
  </w:style>
  <w:style w:type="table" w:customStyle="1" w:styleId="TableGrid1">
    <w:name w:val="Table Grid1"/>
    <w:uiPriority w:val="99"/>
    <w:rsid w:val="0027115B"/>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0E25E1"/>
    <w:rPr>
      <w:color w:val="800080"/>
      <w:u w:val="single"/>
    </w:rPr>
  </w:style>
  <w:style w:type="paragraph" w:customStyle="1" w:styleId="Sub-articlenumbered">
    <w:name w:val="Sub-article numbered"/>
    <w:basedOn w:val="ListParagraph"/>
    <w:uiPriority w:val="99"/>
    <w:rsid w:val="00F54108"/>
    <w:pPr>
      <w:spacing w:before="240" w:after="240" w:line="259" w:lineRule="auto"/>
      <w:ind w:left="502" w:hanging="360"/>
    </w:pPr>
    <w:rPr>
      <w:rFonts w:ascii="Times New Roman" w:hAnsi="Times New Roman" w:cs="Times New Roman"/>
      <w:lang w:val="fi-FI"/>
    </w:rPr>
  </w:style>
  <w:style w:type="paragraph" w:styleId="FootnoteText">
    <w:name w:val="footnote text"/>
    <w:basedOn w:val="Normal"/>
    <w:link w:val="FootnoteTextChar"/>
    <w:uiPriority w:val="99"/>
    <w:semiHidden/>
    <w:rsid w:val="00F47444"/>
    <w:rPr>
      <w:sz w:val="20"/>
      <w:szCs w:val="20"/>
    </w:rPr>
  </w:style>
  <w:style w:type="character" w:customStyle="1" w:styleId="FootnoteTextChar">
    <w:name w:val="Footnote Text Char"/>
    <w:basedOn w:val="DefaultParagraphFont"/>
    <w:link w:val="FootnoteText"/>
    <w:uiPriority w:val="99"/>
    <w:semiHidden/>
    <w:locked/>
    <w:rsid w:val="00F47444"/>
    <w:rPr>
      <w:sz w:val="20"/>
      <w:szCs w:val="20"/>
      <w:lang w:val="en-GB"/>
    </w:rPr>
  </w:style>
  <w:style w:type="character" w:styleId="FootnoteReference">
    <w:name w:val="footnote reference"/>
    <w:basedOn w:val="DefaultParagraphFont"/>
    <w:uiPriority w:val="99"/>
    <w:semiHidden/>
    <w:rsid w:val="00F47444"/>
    <w:rPr>
      <w:vertAlign w:val="superscript"/>
    </w:rPr>
  </w:style>
  <w:style w:type="paragraph" w:customStyle="1" w:styleId="BArticleNo">
    <w:name w:val="B Article No"/>
    <w:basedOn w:val="Normal"/>
    <w:next w:val="Normal"/>
    <w:link w:val="BArticleNoChar"/>
    <w:uiPriority w:val="99"/>
    <w:rsid w:val="00E327BA"/>
    <w:pPr>
      <w:keepNext/>
      <w:adjustRightInd w:val="0"/>
      <w:spacing w:after="120"/>
      <w:jc w:val="center"/>
      <w:textAlignment w:val="baseline"/>
      <w:outlineLvl w:val="1"/>
    </w:pPr>
    <w:rPr>
      <w:rFonts w:ascii="Calibri" w:hAnsi="Calibri" w:cs="Calibri"/>
      <w:b/>
      <w:bCs/>
      <w:color w:val="000000"/>
      <w:sz w:val="20"/>
      <w:szCs w:val="20"/>
      <w:lang w:eastAsia="de-DE"/>
    </w:rPr>
  </w:style>
  <w:style w:type="character" w:customStyle="1" w:styleId="BArticleNoChar">
    <w:name w:val="B Article No Char"/>
    <w:link w:val="BArticleNo"/>
    <w:uiPriority w:val="99"/>
    <w:locked/>
    <w:rsid w:val="00E327BA"/>
    <w:rPr>
      <w:rFonts w:ascii="Calibri" w:hAnsi="Calibri" w:cs="Calibri"/>
      <w:b/>
      <w:bCs/>
      <w:color w:val="000000"/>
      <w:sz w:val="24"/>
      <w:szCs w:val="24"/>
      <w:lang w:val="en-GB" w:eastAsia="de-DE"/>
    </w:rPr>
  </w:style>
  <w:style w:type="character" w:customStyle="1" w:styleId="fontstyle01">
    <w:name w:val="fontstyle01"/>
    <w:basedOn w:val="DefaultParagraphFont"/>
    <w:uiPriority w:val="99"/>
    <w:rsid w:val="00FA0B59"/>
    <w:rPr>
      <w:rFonts w:ascii="ArialMT" w:hAnsi="ArialMT" w:cs="ArialMT"/>
      <w:color w:val="000000"/>
      <w:sz w:val="22"/>
      <w:szCs w:val="22"/>
    </w:rPr>
  </w:style>
  <w:style w:type="numbering" w:customStyle="1" w:styleId="XXXtextbullets">
    <w:name w:val="XXX_text bullets"/>
    <w:rsid w:val="00710D10"/>
    <w:pPr>
      <w:numPr>
        <w:numId w:val="4"/>
      </w:numPr>
    </w:pPr>
  </w:style>
  <w:style w:type="numbering" w:customStyle="1" w:styleId="XXXNummerierung">
    <w:name w:val="XXX_Nummerierung"/>
    <w:rsid w:val="00710D10"/>
    <w:pPr>
      <w:numPr>
        <w:numId w:val="3"/>
      </w:numPr>
    </w:pPr>
  </w:style>
  <w:style w:type="numbering" w:customStyle="1" w:styleId="XXXList">
    <w:name w:val="XXX_List"/>
    <w:rsid w:val="00710D10"/>
    <w:pPr>
      <w:numPr>
        <w:numId w:val="1"/>
      </w:numPr>
    </w:pPr>
  </w:style>
  <w:style w:type="numbering" w:customStyle="1" w:styleId="XXXBulletList">
    <w:name w:val="XXX_Bullet List"/>
    <w:rsid w:val="00710D1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202804">
      <w:marLeft w:val="0"/>
      <w:marRight w:val="0"/>
      <w:marTop w:val="0"/>
      <w:marBottom w:val="0"/>
      <w:divBdr>
        <w:top w:val="none" w:sz="0" w:space="0" w:color="auto"/>
        <w:left w:val="none" w:sz="0" w:space="0" w:color="auto"/>
        <w:bottom w:val="none" w:sz="0" w:space="0" w:color="auto"/>
        <w:right w:val="none" w:sz="0" w:space="0" w:color="auto"/>
      </w:divBdr>
    </w:div>
    <w:div w:id="1667202805">
      <w:marLeft w:val="0"/>
      <w:marRight w:val="0"/>
      <w:marTop w:val="0"/>
      <w:marBottom w:val="0"/>
      <w:divBdr>
        <w:top w:val="none" w:sz="0" w:space="0" w:color="auto"/>
        <w:left w:val="none" w:sz="0" w:space="0" w:color="auto"/>
        <w:bottom w:val="none" w:sz="0" w:space="0" w:color="auto"/>
        <w:right w:val="none" w:sz="0" w:space="0" w:color="auto"/>
      </w:divBdr>
    </w:div>
    <w:div w:id="1667202806">
      <w:marLeft w:val="0"/>
      <w:marRight w:val="0"/>
      <w:marTop w:val="0"/>
      <w:marBottom w:val="0"/>
      <w:divBdr>
        <w:top w:val="none" w:sz="0" w:space="0" w:color="auto"/>
        <w:left w:val="none" w:sz="0" w:space="0" w:color="auto"/>
        <w:bottom w:val="none" w:sz="0" w:space="0" w:color="auto"/>
        <w:right w:val="none" w:sz="0" w:space="0" w:color="auto"/>
      </w:divBdr>
      <w:divsChild>
        <w:div w:id="1667202808">
          <w:marLeft w:val="0"/>
          <w:marRight w:val="0"/>
          <w:marTop w:val="0"/>
          <w:marBottom w:val="0"/>
          <w:divBdr>
            <w:top w:val="none" w:sz="0" w:space="0" w:color="auto"/>
            <w:left w:val="none" w:sz="0" w:space="0" w:color="auto"/>
            <w:bottom w:val="none" w:sz="0" w:space="0" w:color="auto"/>
            <w:right w:val="none" w:sz="0" w:space="0" w:color="auto"/>
          </w:divBdr>
          <w:divsChild>
            <w:div w:id="1667202810">
              <w:marLeft w:val="0"/>
              <w:marRight w:val="0"/>
              <w:marTop w:val="0"/>
              <w:marBottom w:val="0"/>
              <w:divBdr>
                <w:top w:val="none" w:sz="0" w:space="0" w:color="auto"/>
                <w:left w:val="none" w:sz="0" w:space="0" w:color="auto"/>
                <w:bottom w:val="none" w:sz="0" w:space="0" w:color="auto"/>
                <w:right w:val="none" w:sz="0" w:space="0" w:color="auto"/>
              </w:divBdr>
            </w:div>
            <w:div w:id="1667202812">
              <w:marLeft w:val="0"/>
              <w:marRight w:val="0"/>
              <w:marTop w:val="0"/>
              <w:marBottom w:val="0"/>
              <w:divBdr>
                <w:top w:val="none" w:sz="0" w:space="0" w:color="auto"/>
                <w:left w:val="none" w:sz="0" w:space="0" w:color="auto"/>
                <w:bottom w:val="none" w:sz="0" w:space="0" w:color="auto"/>
                <w:right w:val="none" w:sz="0" w:space="0" w:color="auto"/>
              </w:divBdr>
            </w:div>
            <w:div w:id="1667202814">
              <w:marLeft w:val="0"/>
              <w:marRight w:val="0"/>
              <w:marTop w:val="0"/>
              <w:marBottom w:val="0"/>
              <w:divBdr>
                <w:top w:val="none" w:sz="0" w:space="0" w:color="auto"/>
                <w:left w:val="none" w:sz="0" w:space="0" w:color="auto"/>
                <w:bottom w:val="none" w:sz="0" w:space="0" w:color="auto"/>
                <w:right w:val="none" w:sz="0" w:space="0" w:color="auto"/>
              </w:divBdr>
            </w:div>
            <w:div w:id="16672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2807">
      <w:marLeft w:val="0"/>
      <w:marRight w:val="0"/>
      <w:marTop w:val="0"/>
      <w:marBottom w:val="0"/>
      <w:divBdr>
        <w:top w:val="none" w:sz="0" w:space="0" w:color="auto"/>
        <w:left w:val="none" w:sz="0" w:space="0" w:color="auto"/>
        <w:bottom w:val="none" w:sz="0" w:space="0" w:color="auto"/>
        <w:right w:val="none" w:sz="0" w:space="0" w:color="auto"/>
      </w:divBdr>
    </w:div>
    <w:div w:id="1667202809">
      <w:marLeft w:val="0"/>
      <w:marRight w:val="0"/>
      <w:marTop w:val="0"/>
      <w:marBottom w:val="0"/>
      <w:divBdr>
        <w:top w:val="none" w:sz="0" w:space="0" w:color="auto"/>
        <w:left w:val="none" w:sz="0" w:space="0" w:color="auto"/>
        <w:bottom w:val="none" w:sz="0" w:space="0" w:color="auto"/>
        <w:right w:val="none" w:sz="0" w:space="0" w:color="auto"/>
      </w:divBdr>
    </w:div>
    <w:div w:id="1667202811">
      <w:marLeft w:val="0"/>
      <w:marRight w:val="0"/>
      <w:marTop w:val="0"/>
      <w:marBottom w:val="0"/>
      <w:divBdr>
        <w:top w:val="none" w:sz="0" w:space="0" w:color="auto"/>
        <w:left w:val="none" w:sz="0" w:space="0" w:color="auto"/>
        <w:bottom w:val="none" w:sz="0" w:space="0" w:color="auto"/>
        <w:right w:val="none" w:sz="0" w:space="0" w:color="auto"/>
      </w:divBdr>
    </w:div>
    <w:div w:id="1667202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1243</Words>
  <Characters>7213</Characters>
  <Application>Microsoft Office Word</Application>
  <DocSecurity>0</DocSecurity>
  <Lines>60</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Regional Specific Annex for CCR SEE to the Harmonised Allocation Rules for long-term transmission rights (ACER Decision 3/2017), in accordance with Articles 51 and 52(3) of Commision Regulation (EU) 2016/1719 of 26 September 2016 establishing a Guideline</vt:lpstr>
      <vt:lpstr>Regional Specific Annex for CCR SEE to the Harmonised Allocation Rules for long-term transmission rights (ACER Decision 3/2017), in accordance with Articles 51 and 52(3) of Commision Regulation (EU) 2016/1719 of 26 September 2016 establishing a Guideline</vt:lpstr>
    </vt:vector>
  </TitlesOfParts>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Specific Annex for CCR SEE to the Harmonised Allocation Rules for long-term transmission rights (ACER Decision 3/2017), in accordance with Articles 51 and 52(3) of Commision Regulation (EU) 2016/1719 of 26 September 2016 establishing a Guideline</dc:title>
  <dc:creator/>
  <cp:lastModifiedBy/>
  <cp:revision>1</cp:revision>
  <dcterms:created xsi:type="dcterms:W3CDTF">2019-09-27T04:36:00Z</dcterms:created>
  <dcterms:modified xsi:type="dcterms:W3CDTF">2019-09-27T04:42:00Z</dcterms:modified>
</cp:coreProperties>
</file>