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C7C1" w14:textId="6EC6D55A" w:rsidR="0008523A" w:rsidRPr="006B1D9F" w:rsidRDefault="0008523A" w:rsidP="00800F40">
      <w:pPr>
        <w:spacing w:after="0" w:line="240" w:lineRule="auto"/>
        <w:contextualSpacing/>
        <w:rPr>
          <w:rFonts w:ascii="Arial" w:eastAsia="Times New Roman" w:hAnsi="Arial" w:cs="Arial"/>
          <w:b/>
          <w:color w:val="000000"/>
        </w:rPr>
      </w:pPr>
      <w:r w:rsidRPr="006B1D9F">
        <w:rPr>
          <w:rFonts w:ascii="Arial" w:eastAsia="Times New Roman" w:hAnsi="Arial" w:cs="Arial"/>
          <w:b/>
          <w:color w:val="000000"/>
        </w:rPr>
        <w:t xml:space="preserve">Sinteza observaţiilor </w:t>
      </w:r>
    </w:p>
    <w:p w14:paraId="43E3105A" w14:textId="5D57417D" w:rsidR="0008523A" w:rsidRPr="006B1D9F" w:rsidRDefault="0008523A" w:rsidP="00800F40">
      <w:pPr>
        <w:spacing w:after="0" w:line="240" w:lineRule="auto"/>
        <w:contextualSpacing/>
        <w:rPr>
          <w:rFonts w:ascii="Arial" w:eastAsia="Times New Roman" w:hAnsi="Arial" w:cs="Arial"/>
          <w:b/>
          <w:color w:val="000000"/>
        </w:rPr>
      </w:pPr>
      <w:r w:rsidRPr="006B1D9F">
        <w:rPr>
          <w:rFonts w:ascii="Arial" w:eastAsia="Times New Roman" w:hAnsi="Arial" w:cs="Arial"/>
          <w:b/>
          <w:color w:val="000000"/>
        </w:rPr>
        <w:t xml:space="preserve">Procedura Operaţională </w:t>
      </w:r>
      <w:r w:rsidR="00FC72A3" w:rsidRPr="006B1D9F">
        <w:rPr>
          <w:rFonts w:ascii="Arial" w:eastAsia="Times New Roman" w:hAnsi="Arial" w:cs="Arial"/>
          <w:b/>
          <w:color w:val="000000"/>
        </w:rPr>
        <w:t>Derularea plăţilor şi încasărilor pe piaţa de echilibrare</w:t>
      </w:r>
      <w:r w:rsidRPr="006B1D9F">
        <w:rPr>
          <w:rFonts w:ascii="Arial" w:eastAsia="Times New Roman" w:hAnsi="Arial" w:cs="Arial"/>
          <w:b/>
          <w:color w:val="000000"/>
        </w:rPr>
        <w:t xml:space="preserve"> </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681"/>
        <w:gridCol w:w="1987"/>
        <w:gridCol w:w="3166"/>
        <w:gridCol w:w="4752"/>
      </w:tblGrid>
      <w:tr w:rsidR="006B1D9F" w:rsidRPr="006B1D9F" w14:paraId="39EF4D68" w14:textId="77777777" w:rsidTr="00800F40">
        <w:trPr>
          <w:trHeight w:val="307"/>
          <w:tblHeader/>
        </w:trPr>
        <w:tc>
          <w:tcPr>
            <w:tcW w:w="357" w:type="pct"/>
            <w:shd w:val="clear" w:color="auto" w:fill="auto"/>
          </w:tcPr>
          <w:p w14:paraId="3E79B154" w14:textId="77777777" w:rsidR="0008523A" w:rsidRPr="006B1D9F" w:rsidRDefault="0008523A" w:rsidP="00800F40">
            <w:pPr>
              <w:spacing w:after="0" w:line="240" w:lineRule="auto"/>
              <w:contextualSpacing/>
              <w:rPr>
                <w:rFonts w:ascii="Arial" w:hAnsi="Arial" w:cs="Arial"/>
                <w:b/>
                <w:bCs/>
              </w:rPr>
            </w:pPr>
          </w:p>
        </w:tc>
        <w:tc>
          <w:tcPr>
            <w:tcW w:w="989" w:type="pct"/>
            <w:shd w:val="clear" w:color="auto" w:fill="auto"/>
          </w:tcPr>
          <w:p w14:paraId="5D94AED1" w14:textId="77777777" w:rsidR="0008523A" w:rsidRPr="006B1D9F" w:rsidRDefault="0008523A" w:rsidP="00800F40">
            <w:pPr>
              <w:spacing w:after="0" w:line="240" w:lineRule="auto"/>
              <w:contextualSpacing/>
              <w:rPr>
                <w:rFonts w:ascii="Arial" w:hAnsi="Arial" w:cs="Arial"/>
                <w:b/>
                <w:bCs/>
              </w:rPr>
            </w:pPr>
            <w:r w:rsidRPr="006B1D9F">
              <w:rPr>
                <w:rFonts w:ascii="Arial" w:hAnsi="Arial" w:cs="Arial"/>
                <w:b/>
                <w:bCs/>
              </w:rPr>
              <w:t>Text CNTEE TRANSELECTRICA SA</w:t>
            </w:r>
          </w:p>
        </w:tc>
        <w:tc>
          <w:tcPr>
            <w:tcW w:w="733" w:type="pct"/>
            <w:shd w:val="clear" w:color="auto" w:fill="auto"/>
          </w:tcPr>
          <w:p w14:paraId="2C0376D2" w14:textId="77777777" w:rsidR="0008523A" w:rsidRPr="006B1D9F" w:rsidRDefault="0008523A" w:rsidP="00800F40">
            <w:pPr>
              <w:spacing w:after="0" w:line="240" w:lineRule="auto"/>
              <w:contextualSpacing/>
              <w:rPr>
                <w:rFonts w:ascii="Arial" w:hAnsi="Arial" w:cs="Arial"/>
                <w:b/>
                <w:bCs/>
              </w:rPr>
            </w:pPr>
            <w:r w:rsidRPr="006B1D9F">
              <w:rPr>
                <w:rFonts w:ascii="Arial" w:hAnsi="Arial" w:cs="Arial"/>
                <w:b/>
                <w:bCs/>
              </w:rPr>
              <w:t xml:space="preserve">Propunere reformulare </w:t>
            </w:r>
          </w:p>
        </w:tc>
        <w:tc>
          <w:tcPr>
            <w:tcW w:w="1168" w:type="pct"/>
            <w:shd w:val="clear" w:color="auto" w:fill="auto"/>
          </w:tcPr>
          <w:p w14:paraId="1BF22989" w14:textId="77777777" w:rsidR="0008523A" w:rsidRPr="006B1D9F" w:rsidRDefault="0008523A" w:rsidP="00800F40">
            <w:pPr>
              <w:spacing w:after="0" w:line="240" w:lineRule="auto"/>
              <w:contextualSpacing/>
              <w:rPr>
                <w:rFonts w:ascii="Arial" w:hAnsi="Arial" w:cs="Arial"/>
                <w:b/>
                <w:bCs/>
              </w:rPr>
            </w:pPr>
            <w:r w:rsidRPr="006B1D9F">
              <w:rPr>
                <w:rFonts w:ascii="Arial" w:hAnsi="Arial" w:cs="Arial"/>
                <w:b/>
                <w:bCs/>
              </w:rPr>
              <w:t>Observații/justificări</w:t>
            </w:r>
          </w:p>
        </w:tc>
        <w:tc>
          <w:tcPr>
            <w:tcW w:w="1753" w:type="pct"/>
          </w:tcPr>
          <w:p w14:paraId="34303F0B" w14:textId="77777777" w:rsidR="0008523A" w:rsidRPr="006B1D9F" w:rsidRDefault="0008523A" w:rsidP="00800F40">
            <w:pPr>
              <w:spacing w:after="0" w:line="240" w:lineRule="auto"/>
              <w:contextualSpacing/>
              <w:rPr>
                <w:rFonts w:ascii="Arial" w:hAnsi="Arial" w:cs="Arial"/>
                <w:b/>
                <w:bCs/>
              </w:rPr>
            </w:pPr>
            <w:r w:rsidRPr="006B1D9F">
              <w:rPr>
                <w:rFonts w:ascii="Arial" w:hAnsi="Arial" w:cs="Arial"/>
                <w:b/>
                <w:bCs/>
              </w:rPr>
              <w:t>Raspuns CNTEE Transelectrica SA</w:t>
            </w:r>
          </w:p>
        </w:tc>
      </w:tr>
      <w:tr w:rsidR="006274BC" w:rsidRPr="006B1D9F" w14:paraId="19C2CB1C" w14:textId="77777777" w:rsidTr="00800F40">
        <w:trPr>
          <w:trHeight w:val="749"/>
        </w:trPr>
        <w:tc>
          <w:tcPr>
            <w:tcW w:w="357" w:type="pct"/>
            <w:shd w:val="clear" w:color="auto" w:fill="auto"/>
          </w:tcPr>
          <w:p w14:paraId="2C796267" w14:textId="68E7C894" w:rsidR="00FC72A3" w:rsidRPr="006B1D9F" w:rsidRDefault="00FC72A3" w:rsidP="00800F40">
            <w:pPr>
              <w:spacing w:after="0" w:line="240" w:lineRule="auto"/>
              <w:rPr>
                <w:rFonts w:ascii="Arial" w:hAnsi="Arial" w:cs="Arial"/>
                <w:bCs/>
              </w:rPr>
            </w:pPr>
            <w:r w:rsidRPr="006B1D9F">
              <w:rPr>
                <w:rFonts w:ascii="Arial" w:hAnsi="Arial" w:cs="Arial"/>
              </w:rPr>
              <w:t>AFEER</w:t>
            </w:r>
          </w:p>
        </w:tc>
        <w:tc>
          <w:tcPr>
            <w:tcW w:w="989" w:type="pct"/>
            <w:shd w:val="clear" w:color="auto" w:fill="auto"/>
          </w:tcPr>
          <w:p w14:paraId="6DC4DDE1" w14:textId="23E14A48" w:rsidR="00FC72A3" w:rsidRPr="006B1D9F" w:rsidRDefault="00513591" w:rsidP="00800F40">
            <w:pPr>
              <w:spacing w:after="0" w:line="240" w:lineRule="auto"/>
              <w:rPr>
                <w:rFonts w:ascii="Arial" w:hAnsi="Arial" w:cs="Arial"/>
                <w:b/>
              </w:rPr>
            </w:pPr>
            <w:r>
              <w:rPr>
                <w:rFonts w:ascii="Arial" w:hAnsi="Arial" w:cs="Arial"/>
                <w:b/>
              </w:rPr>
              <w:t>8.4.3.</w:t>
            </w:r>
            <w:r w:rsidR="00FC72A3" w:rsidRPr="006B1D9F">
              <w:rPr>
                <w:rFonts w:ascii="Arial" w:hAnsi="Arial" w:cs="Arial"/>
                <w:b/>
              </w:rPr>
              <w:t>Daca PRE/PSG are garantia financiara constituita din mai multe scrisori de garantie bancara, OTS va executa GF pana la concurenta sumei datorate incepand cu scrisoarea de garantie bancara care are scadenta termenului de valabilitate cea mai mica. OTS notifica PRE/FSE/PSG pentru refacerea valorii GF.</w:t>
            </w:r>
          </w:p>
        </w:tc>
        <w:tc>
          <w:tcPr>
            <w:tcW w:w="733" w:type="pct"/>
            <w:shd w:val="clear" w:color="auto" w:fill="auto"/>
          </w:tcPr>
          <w:p w14:paraId="0F508F06" w14:textId="6BC26EC8" w:rsidR="00FC72A3" w:rsidRPr="006B1D9F" w:rsidRDefault="00513591" w:rsidP="00800F40">
            <w:pPr>
              <w:spacing w:after="0" w:line="240" w:lineRule="auto"/>
              <w:rPr>
                <w:rFonts w:ascii="Arial" w:hAnsi="Arial" w:cs="Arial"/>
                <w:bCs/>
              </w:rPr>
            </w:pPr>
            <w:r>
              <w:rPr>
                <w:rFonts w:ascii="Arial" w:hAnsi="Arial" w:cs="Arial"/>
                <w:bCs/>
              </w:rPr>
              <w:t>8.4.3.</w:t>
            </w:r>
            <w:r w:rsidR="00FC72A3" w:rsidRPr="006B1D9F">
              <w:rPr>
                <w:rFonts w:ascii="Arial" w:hAnsi="Arial" w:cs="Arial"/>
                <w:bCs/>
              </w:rPr>
              <w:t>Daca PRE/PSG are garantia financiara constituita din mai multe scrisori de garantie bancara, OTS:</w:t>
            </w:r>
          </w:p>
          <w:p w14:paraId="208B9B1E" w14:textId="77777777" w:rsidR="00FC72A3" w:rsidRPr="006B1D9F" w:rsidRDefault="00FC72A3" w:rsidP="00800F40">
            <w:pPr>
              <w:spacing w:after="0" w:line="240" w:lineRule="auto"/>
              <w:rPr>
                <w:rFonts w:ascii="Arial" w:hAnsi="Arial" w:cs="Arial"/>
                <w:bCs/>
                <w:color w:val="FF0000"/>
              </w:rPr>
            </w:pPr>
            <w:r w:rsidRPr="006B1D9F">
              <w:rPr>
                <w:rFonts w:ascii="Arial" w:hAnsi="Arial" w:cs="Arial"/>
                <w:bCs/>
              </w:rPr>
              <w:t xml:space="preserve">- </w:t>
            </w:r>
            <w:r w:rsidRPr="006B1D9F">
              <w:rPr>
                <w:rFonts w:ascii="Arial" w:hAnsi="Arial" w:cs="Arial"/>
                <w:bCs/>
                <w:color w:val="FF0000"/>
              </w:rPr>
              <w:t>va solicita PRE/FSE/PSG ordinea scrisorilor de garantie bancara, in vederea executarii;</w:t>
            </w:r>
          </w:p>
          <w:p w14:paraId="26CAA1BF" w14:textId="77777777" w:rsidR="00FC72A3" w:rsidRPr="006B1D9F" w:rsidRDefault="00FC72A3" w:rsidP="00800F40">
            <w:pPr>
              <w:spacing w:after="0" w:line="240" w:lineRule="auto"/>
              <w:rPr>
                <w:rFonts w:ascii="Arial" w:hAnsi="Arial" w:cs="Arial"/>
                <w:bCs/>
              </w:rPr>
            </w:pPr>
            <w:r w:rsidRPr="006B1D9F">
              <w:rPr>
                <w:rFonts w:ascii="Arial" w:hAnsi="Arial" w:cs="Arial"/>
                <w:bCs/>
              </w:rPr>
              <w:t>- va executa GF pana la concurenta sumei datorate, in ordinea indicata si incepand cu scrisoarea de garantie bancara care are scadenta termenului de valabilitate cea mai mica;</w:t>
            </w:r>
          </w:p>
          <w:p w14:paraId="7F1AA116" w14:textId="46ABD9AE" w:rsidR="00FC72A3" w:rsidRPr="006B1D9F" w:rsidRDefault="00FC72A3" w:rsidP="00800F40">
            <w:pPr>
              <w:autoSpaceDE w:val="0"/>
              <w:autoSpaceDN w:val="0"/>
              <w:spacing w:after="0" w:line="240" w:lineRule="auto"/>
              <w:ind w:left="270" w:hanging="270"/>
              <w:rPr>
                <w:rFonts w:ascii="Arial" w:hAnsi="Arial" w:cs="Arial"/>
              </w:rPr>
            </w:pPr>
            <w:r w:rsidRPr="006B1D9F">
              <w:rPr>
                <w:rFonts w:ascii="Arial" w:hAnsi="Arial" w:cs="Arial"/>
                <w:bCs/>
              </w:rPr>
              <w:t>- va notifica PRE/FSE/PSG pentru refacerea valorii GF.</w:t>
            </w:r>
          </w:p>
        </w:tc>
        <w:tc>
          <w:tcPr>
            <w:tcW w:w="1168" w:type="pct"/>
            <w:shd w:val="clear" w:color="auto" w:fill="auto"/>
          </w:tcPr>
          <w:p w14:paraId="5120FD7A" w14:textId="77777777" w:rsidR="00FC72A3" w:rsidRPr="006B1D9F" w:rsidRDefault="00FC72A3" w:rsidP="00800F40">
            <w:pPr>
              <w:spacing w:after="0" w:line="240" w:lineRule="auto"/>
              <w:rPr>
                <w:rFonts w:ascii="Arial" w:hAnsi="Arial" w:cs="Arial"/>
                <w:bCs/>
              </w:rPr>
            </w:pPr>
            <w:r w:rsidRPr="006B1D9F">
              <w:rPr>
                <w:rFonts w:ascii="Arial" w:hAnsi="Arial" w:cs="Arial"/>
                <w:bCs/>
              </w:rPr>
              <w:t>Clarificare necesara pentru evitarea situatiei in care OTS ar putea executa o SGB emisa de un membru PRE pentru aceasta, desi acel membru si-a indeplinit obligatiile fata de PRE.</w:t>
            </w:r>
          </w:p>
          <w:p w14:paraId="71211CE8" w14:textId="654C7CEC" w:rsidR="00FC72A3" w:rsidRPr="006B1D9F" w:rsidRDefault="00FC72A3" w:rsidP="00800F40">
            <w:pPr>
              <w:spacing w:after="0" w:line="240" w:lineRule="auto"/>
              <w:rPr>
                <w:rFonts w:ascii="Arial" w:hAnsi="Arial" w:cs="Arial"/>
                <w:bCs/>
              </w:rPr>
            </w:pPr>
          </w:p>
        </w:tc>
        <w:tc>
          <w:tcPr>
            <w:tcW w:w="1753" w:type="pct"/>
          </w:tcPr>
          <w:p w14:paraId="26FDA941" w14:textId="03680E69" w:rsidR="00800F40" w:rsidRDefault="00771E77" w:rsidP="00800F40">
            <w:pPr>
              <w:spacing w:after="0" w:line="240" w:lineRule="auto"/>
              <w:rPr>
                <w:rFonts w:ascii="Arial" w:hAnsi="Arial" w:cs="Arial"/>
                <w:b/>
                <w:bCs/>
              </w:rPr>
            </w:pPr>
            <w:r>
              <w:rPr>
                <w:rFonts w:ascii="Arial" w:hAnsi="Arial" w:cs="Arial"/>
                <w:b/>
                <w:bCs/>
              </w:rPr>
              <w:t>P</w:t>
            </w:r>
            <w:r w:rsidR="00800F40">
              <w:rPr>
                <w:rFonts w:ascii="Arial" w:hAnsi="Arial" w:cs="Arial"/>
                <w:b/>
                <w:bCs/>
              </w:rPr>
              <w:t>r</w:t>
            </w:r>
            <w:r>
              <w:rPr>
                <w:rFonts w:ascii="Arial" w:hAnsi="Arial" w:cs="Arial"/>
                <w:b/>
                <w:bCs/>
              </w:rPr>
              <w:t>o</w:t>
            </w:r>
            <w:r w:rsidR="00800F40">
              <w:rPr>
                <w:rFonts w:ascii="Arial" w:hAnsi="Arial" w:cs="Arial"/>
                <w:b/>
                <w:bCs/>
              </w:rPr>
              <w:t>punere acceptat</w:t>
            </w:r>
            <w:r w:rsidR="00672ADC">
              <w:rPr>
                <w:rFonts w:ascii="Arial" w:hAnsi="Arial" w:cs="Arial"/>
                <w:b/>
                <w:bCs/>
              </w:rPr>
              <w:t>ă</w:t>
            </w:r>
            <w:r w:rsidR="00800F40">
              <w:rPr>
                <w:rFonts w:ascii="Arial" w:hAnsi="Arial" w:cs="Arial"/>
                <w:b/>
                <w:bCs/>
              </w:rPr>
              <w:t xml:space="preserve"> parţial </w:t>
            </w:r>
          </w:p>
          <w:p w14:paraId="5DECEDE3" w14:textId="01BC11A5" w:rsidR="00800F40" w:rsidRPr="006B1D9F" w:rsidRDefault="00800F40" w:rsidP="00800F40">
            <w:pPr>
              <w:spacing w:after="0" w:line="240" w:lineRule="auto"/>
              <w:rPr>
                <w:rFonts w:ascii="Arial" w:hAnsi="Arial" w:cs="Arial"/>
                <w:b/>
                <w:bCs/>
              </w:rPr>
            </w:pPr>
            <w:r w:rsidRPr="006B1D9F">
              <w:rPr>
                <w:rFonts w:ascii="Arial" w:hAnsi="Arial" w:cs="Arial"/>
                <w:b/>
                <w:bCs/>
              </w:rPr>
              <w:t>Justificare respingere pentru alineatul 1:</w:t>
            </w:r>
          </w:p>
          <w:p w14:paraId="656F11AD" w14:textId="26B5F922" w:rsidR="00800F40" w:rsidRPr="006B1D9F" w:rsidRDefault="00800F40" w:rsidP="00800F40">
            <w:pPr>
              <w:pStyle w:val="ListParagraph"/>
              <w:numPr>
                <w:ilvl w:val="0"/>
                <w:numId w:val="1"/>
              </w:numPr>
              <w:spacing w:after="0" w:line="240" w:lineRule="auto"/>
              <w:ind w:left="312" w:hanging="142"/>
              <w:rPr>
                <w:rFonts w:ascii="Arial" w:hAnsi="Arial" w:cs="Arial"/>
                <w:bCs/>
              </w:rPr>
            </w:pPr>
            <w:r w:rsidRPr="006B1D9F">
              <w:rPr>
                <w:rFonts w:ascii="Arial" w:hAnsi="Arial" w:cs="Arial"/>
                <w:bCs/>
              </w:rPr>
              <w:t>Propunerea de la alineatul 1 nu se încadreză în</w:t>
            </w:r>
            <w:r w:rsidRPr="006B1D9F">
              <w:rPr>
                <w:rFonts w:ascii="Arial" w:hAnsi="Arial" w:cs="Arial"/>
                <w:b/>
              </w:rPr>
              <w:t xml:space="preserve">  </w:t>
            </w:r>
            <w:r w:rsidRPr="006B1D9F">
              <w:rPr>
                <w:rFonts w:ascii="Arial" w:hAnsi="Arial" w:cs="Arial"/>
                <w:bCs/>
              </w:rPr>
              <w:t>prevederile Ordinului  Preşedintelui ANRE nr.127/2021, re</w:t>
            </w:r>
            <w:r w:rsidR="00771E77">
              <w:rPr>
                <w:rFonts w:ascii="Arial" w:hAnsi="Arial" w:cs="Arial"/>
                <w:bCs/>
              </w:rPr>
              <w:t>s</w:t>
            </w:r>
            <w:r w:rsidRPr="006B1D9F">
              <w:rPr>
                <w:rFonts w:ascii="Arial" w:hAnsi="Arial" w:cs="Arial"/>
                <w:bCs/>
              </w:rPr>
              <w:t>pectiv un PRE înregistrat care şi-a transferat responsabilitatea echilibrării altui PRE înregistrat, nu constituie garanţie financiară în favoarea Transelectrica, conform art.33, art.45, art.47, art.70, art.71.</w:t>
            </w:r>
          </w:p>
          <w:p w14:paraId="71060F7B" w14:textId="77777777" w:rsidR="00800F40" w:rsidRPr="006B1D9F" w:rsidRDefault="00800F40" w:rsidP="00800F40">
            <w:pPr>
              <w:pStyle w:val="ListParagraph"/>
              <w:numPr>
                <w:ilvl w:val="0"/>
                <w:numId w:val="1"/>
              </w:numPr>
              <w:spacing w:after="0" w:line="240" w:lineRule="auto"/>
              <w:ind w:left="312" w:hanging="142"/>
              <w:rPr>
                <w:rFonts w:ascii="Arial" w:hAnsi="Arial" w:cs="Arial"/>
                <w:bCs/>
              </w:rPr>
            </w:pPr>
            <w:r w:rsidRPr="006B1D9F">
              <w:rPr>
                <w:rFonts w:ascii="Arial" w:hAnsi="Arial" w:cs="Arial"/>
                <w:bCs/>
              </w:rPr>
              <w:t xml:space="preserve"> SGB  este emisă în favoarea CNTEE Transelectrica SA de către PRE care şi-a asumat reponsabilitatea echilibrării pentru PRE suspendate;</w:t>
            </w:r>
          </w:p>
          <w:p w14:paraId="13579923" w14:textId="77777777" w:rsidR="00800F40" w:rsidRDefault="00800F40" w:rsidP="00800F40">
            <w:pPr>
              <w:spacing w:after="0" w:line="240" w:lineRule="auto"/>
              <w:rPr>
                <w:rFonts w:ascii="Arial" w:hAnsi="Arial" w:cs="Arial"/>
                <w:bCs/>
              </w:rPr>
            </w:pPr>
            <w:r w:rsidRPr="006B1D9F">
              <w:rPr>
                <w:rFonts w:ascii="Arial" w:hAnsi="Arial" w:cs="Arial"/>
                <w:bCs/>
                <w:lang w:eastAsia="ro-RO"/>
              </w:rPr>
              <w:t xml:space="preserve">Din punct de vedere comercial, </w:t>
            </w:r>
            <w:r w:rsidRPr="006B1D9F">
              <w:rPr>
                <w:rFonts w:ascii="Arial" w:hAnsi="Arial" w:cs="Arial"/>
                <w:bCs/>
              </w:rPr>
              <w:t>un PRE înregistrat, care şi-a transferat responsabilitate echilibrării altui PRE, nu are legătură contractuală directă cu Transelectrica, deoarece, pe toată perioada transferului, Convenţia de PRE semnată este suspendată.</w:t>
            </w:r>
          </w:p>
          <w:p w14:paraId="121484EB" w14:textId="1FF31570" w:rsidR="00FC72A3" w:rsidRPr="006B1D9F" w:rsidRDefault="00FC72A3" w:rsidP="00800F40">
            <w:pPr>
              <w:spacing w:after="0" w:line="240" w:lineRule="auto"/>
              <w:rPr>
                <w:rFonts w:ascii="Arial" w:hAnsi="Arial" w:cs="Arial"/>
                <w:b/>
                <w:bCs/>
              </w:rPr>
            </w:pPr>
          </w:p>
          <w:p w14:paraId="383BE4B1" w14:textId="146E584A" w:rsidR="00FC72A3" w:rsidRPr="006B1D9F" w:rsidRDefault="00800F40" w:rsidP="00800F40">
            <w:pPr>
              <w:spacing w:after="0" w:line="240" w:lineRule="auto"/>
              <w:rPr>
                <w:rFonts w:ascii="Arial" w:hAnsi="Arial" w:cs="Arial"/>
                <w:bCs/>
              </w:rPr>
            </w:pPr>
            <w:r>
              <w:rPr>
                <w:rFonts w:ascii="Arial" w:hAnsi="Arial" w:cs="Arial"/>
                <w:bCs/>
              </w:rPr>
              <w:t>R</w:t>
            </w:r>
            <w:r w:rsidR="00FC72A3" w:rsidRPr="006B1D9F">
              <w:rPr>
                <w:rFonts w:ascii="Arial" w:hAnsi="Arial" w:cs="Arial"/>
                <w:bCs/>
              </w:rPr>
              <w:t xml:space="preserve">eformulare Transelectrica: </w:t>
            </w:r>
          </w:p>
          <w:p w14:paraId="6CC1326A" w14:textId="3BE3E482" w:rsidR="00FC72A3" w:rsidRPr="006B1D9F" w:rsidRDefault="00FC72A3" w:rsidP="00800F40">
            <w:pPr>
              <w:spacing w:after="0" w:line="240" w:lineRule="auto"/>
              <w:rPr>
                <w:rFonts w:ascii="Arial" w:hAnsi="Arial" w:cs="Arial"/>
                <w:b/>
              </w:rPr>
            </w:pPr>
            <w:r w:rsidRPr="006B1D9F">
              <w:rPr>
                <w:rFonts w:ascii="Arial" w:hAnsi="Arial" w:cs="Arial"/>
                <w:bCs/>
              </w:rPr>
              <w:t>„</w:t>
            </w:r>
            <w:r w:rsidR="00513591">
              <w:rPr>
                <w:rFonts w:ascii="Arial" w:hAnsi="Arial" w:cs="Arial"/>
                <w:bCs/>
              </w:rPr>
              <w:t xml:space="preserve"> 8.4.3.</w:t>
            </w:r>
            <w:r w:rsidRPr="006B1D9F">
              <w:rPr>
                <w:rFonts w:ascii="Arial" w:hAnsi="Arial" w:cs="Arial"/>
                <w:b/>
              </w:rPr>
              <w:t>Daca PRE/PSG are garanția financiară constituită din mai multe scrisori de garanție bancară, OTS:</w:t>
            </w:r>
          </w:p>
          <w:p w14:paraId="4AB7FDB9" w14:textId="2E235C41" w:rsidR="00FC72A3" w:rsidRPr="006B1D9F" w:rsidRDefault="00FC72A3" w:rsidP="00800F40">
            <w:pPr>
              <w:spacing w:after="0" w:line="240" w:lineRule="auto"/>
              <w:rPr>
                <w:rFonts w:ascii="Arial" w:hAnsi="Arial" w:cs="Arial"/>
                <w:b/>
              </w:rPr>
            </w:pPr>
            <w:r w:rsidRPr="006B1D9F">
              <w:rPr>
                <w:rFonts w:ascii="Arial" w:hAnsi="Arial" w:cs="Arial"/>
                <w:b/>
              </w:rPr>
              <w:t>- va executa GF până la concurența sumei datorate</w:t>
            </w:r>
            <w:r w:rsidR="0018652A">
              <w:rPr>
                <w:rFonts w:ascii="Arial" w:hAnsi="Arial" w:cs="Arial"/>
                <w:b/>
              </w:rPr>
              <w:t xml:space="preserve"> </w:t>
            </w:r>
            <w:r w:rsidRPr="006B1D9F">
              <w:rPr>
                <w:rFonts w:ascii="Arial" w:hAnsi="Arial" w:cs="Arial"/>
                <w:b/>
              </w:rPr>
              <w:t xml:space="preserve">începând cu scrisoarea de garanție bancară care are scadența termenului de valabilitate cea mai </w:t>
            </w:r>
            <w:r w:rsidR="00AE4C98">
              <w:rPr>
                <w:rFonts w:ascii="Arial" w:hAnsi="Arial" w:cs="Arial"/>
                <w:b/>
              </w:rPr>
              <w:t>apropiată în timp de momentul executării</w:t>
            </w:r>
            <w:r w:rsidRPr="006B1D9F">
              <w:rPr>
                <w:rFonts w:ascii="Arial" w:hAnsi="Arial" w:cs="Arial"/>
                <w:b/>
              </w:rPr>
              <w:t>;</w:t>
            </w:r>
          </w:p>
          <w:p w14:paraId="3F401DC4" w14:textId="6C124DD5" w:rsidR="00FC72A3" w:rsidRPr="00800F40" w:rsidRDefault="00FC72A3" w:rsidP="00800F40">
            <w:pPr>
              <w:spacing w:after="0" w:line="240" w:lineRule="auto"/>
              <w:rPr>
                <w:rFonts w:ascii="Arial" w:hAnsi="Arial" w:cs="Arial"/>
                <w:b/>
              </w:rPr>
            </w:pPr>
            <w:r w:rsidRPr="006B1D9F">
              <w:rPr>
                <w:rFonts w:ascii="Arial" w:hAnsi="Arial" w:cs="Arial"/>
                <w:b/>
              </w:rPr>
              <w:t>- va notifica PRE/FSE/PSG pentru refacerea valorii GF.</w:t>
            </w:r>
          </w:p>
        </w:tc>
      </w:tr>
    </w:tbl>
    <w:p w14:paraId="47DEA311" w14:textId="7519A21B" w:rsidR="00C758A0" w:rsidRPr="006B1D9F" w:rsidRDefault="00214859" w:rsidP="00800F40">
      <w:pPr>
        <w:tabs>
          <w:tab w:val="left" w:pos="1593"/>
        </w:tabs>
        <w:rPr>
          <w:rFonts w:ascii="Arial" w:hAnsi="Arial" w:cs="Arial"/>
        </w:rPr>
      </w:pPr>
    </w:p>
    <w:sectPr w:rsidR="00C758A0" w:rsidRPr="006B1D9F" w:rsidSect="006B1D9F">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96077"/>
    <w:multiLevelType w:val="hybridMultilevel"/>
    <w:tmpl w:val="23F2792C"/>
    <w:lvl w:ilvl="0" w:tplc="63529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0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23A"/>
    <w:rsid w:val="0008523A"/>
    <w:rsid w:val="0018652A"/>
    <w:rsid w:val="00214859"/>
    <w:rsid w:val="00513591"/>
    <w:rsid w:val="006274BC"/>
    <w:rsid w:val="00672ADC"/>
    <w:rsid w:val="006B1D9F"/>
    <w:rsid w:val="00771E77"/>
    <w:rsid w:val="00800F40"/>
    <w:rsid w:val="00832002"/>
    <w:rsid w:val="00AE4C98"/>
    <w:rsid w:val="00F92137"/>
    <w:rsid w:val="00FC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3F40"/>
  <w15:docId w15:val="{AD359029-C067-487A-9FC0-2026ADF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3A"/>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2A3"/>
    <w:pPr>
      <w:suppressAutoHyphens/>
      <w:ind w:left="720"/>
      <w:contextualSpacing/>
    </w:pPr>
    <w:rPr>
      <w:rFonts w:asciiTheme="minorHAnsi" w:eastAsiaTheme="minorHAnsi" w:hAnsiTheme="minorHAnsi" w:cstheme="minorBidi"/>
    </w:rPr>
  </w:style>
  <w:style w:type="paragraph" w:styleId="Revision">
    <w:name w:val="Revision"/>
    <w:hidden/>
    <w:uiPriority w:val="99"/>
    <w:semiHidden/>
    <w:rsid w:val="00214859"/>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Obretin</dc:creator>
  <cp:lastModifiedBy>Marian Obretin</cp:lastModifiedBy>
  <cp:revision>3</cp:revision>
  <cp:lastPrinted>2022-06-21T07:32:00Z</cp:lastPrinted>
  <dcterms:created xsi:type="dcterms:W3CDTF">2022-06-21T11:12:00Z</dcterms:created>
  <dcterms:modified xsi:type="dcterms:W3CDTF">2022-06-27T07:58:00Z</dcterms:modified>
</cp:coreProperties>
</file>