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topFromText="5528" w:vertAnchor="page" w:horzAnchor="page" w:tblpX="1362" w:tblpY="5104"/>
        <w:tblW w:w="0" w:type="auto"/>
        <w:tblBorders>
          <w:top w:val="single" w:sz="8" w:space="0" w:color="23236E" w:themeColor="text2"/>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696EBB" w:rsidRPr="00544B00" w:rsidTr="002468CF">
        <w:tc>
          <w:tcPr>
            <w:tcW w:w="9524" w:type="dxa"/>
            <w:tcBorders>
              <w:top w:val="single" w:sz="8" w:space="0" w:color="23236E" w:themeColor="text2"/>
              <w:bottom w:val="single" w:sz="4" w:space="0" w:color="auto"/>
            </w:tcBorders>
            <w:tcMar>
              <w:top w:w="198" w:type="dxa"/>
            </w:tcMar>
          </w:tcPr>
          <w:p w:rsidR="00696EBB" w:rsidRPr="00544B00" w:rsidRDefault="0019287E" w:rsidP="00CF256D">
            <w:pPr>
              <w:pStyle w:val="headlineheader"/>
              <w:spacing w:line="276" w:lineRule="auto"/>
              <w:jc w:val="center"/>
            </w:pPr>
            <w:bookmarkStart w:id="0" w:name="_GoBack"/>
            <w:bookmarkEnd w:id="0"/>
            <w:r>
              <w:rPr>
                <w:bCs/>
                <w:sz w:val="32"/>
                <w:szCs w:val="32"/>
                <w:lang w:val="ro"/>
              </w:rPr>
              <w:t xml:space="preserve">Propunerea pentru regulile de alocare a drepturilor fizice de transport pentru granițele zonelor de ofertare Ungaria și România în conformitate cu articolul 36 din Regulamentul (UE) 2016/1719 al Comisiei din 26 septembrie 2016 de stabilire a unei orientări privind alocarea capacităților pe piața pe termen lung    </w:t>
            </w:r>
          </w:p>
        </w:tc>
      </w:tr>
      <w:tr w:rsidR="00696EBB" w:rsidRPr="00544B00" w:rsidTr="002468CF">
        <w:tc>
          <w:tcPr>
            <w:tcW w:w="9524" w:type="dxa"/>
            <w:tcBorders>
              <w:top w:val="single" w:sz="4" w:space="0" w:color="auto"/>
            </w:tcBorders>
          </w:tcPr>
          <w:p w:rsidR="00696EBB" w:rsidRPr="00544B00" w:rsidRDefault="00696EBB" w:rsidP="001A3B31">
            <w:pPr>
              <w:pStyle w:val="textheader"/>
              <w:jc w:val="both"/>
            </w:pPr>
          </w:p>
        </w:tc>
      </w:tr>
      <w:tr w:rsidR="0066321D" w:rsidRPr="00544B00" w:rsidTr="00601E12">
        <w:trPr>
          <w:trHeight w:val="609"/>
        </w:trPr>
        <w:tc>
          <w:tcPr>
            <w:tcW w:w="9524" w:type="dxa"/>
            <w:tcBorders>
              <w:bottom w:val="nil"/>
            </w:tcBorders>
          </w:tcPr>
          <w:p w:rsidR="0066321D" w:rsidRPr="002468CF" w:rsidRDefault="00C86959" w:rsidP="004267EF">
            <w:pPr>
              <w:pStyle w:val="textheader"/>
              <w:jc w:val="both"/>
            </w:pPr>
            <w:sdt>
              <w:sdtPr>
                <w:rPr>
                  <w:color w:val="auto"/>
                  <w:sz w:val="29"/>
                  <w:szCs w:val="29"/>
                </w:rPr>
                <w:id w:val="8523443"/>
                <w:placeholder>
                  <w:docPart w:val="1492741536894253B029C2899C0106A0"/>
                </w:placeholder>
                <w:date>
                  <w:dateFormat w:val="d MMMM yyyy"/>
                  <w:lid w:val="en-US"/>
                  <w:storeMappedDataAs w:val="dateTime"/>
                  <w:calendar w:val="gregorian"/>
                </w:date>
              </w:sdtPr>
              <w:sdtEndPr/>
              <w:sdtContent>
                <w:r w:rsidR="003053CA">
                  <w:rPr>
                    <w:color w:val="auto"/>
                    <w:sz w:val="29"/>
                    <w:szCs w:val="29"/>
                    <w:lang w:val="ro"/>
                  </w:rPr>
                  <w:t>11 Octombrie 2017</w:t>
                </w:r>
              </w:sdtContent>
            </w:sdt>
          </w:p>
        </w:tc>
      </w:tr>
      <w:tr w:rsidR="0066321D" w:rsidRPr="00544B00" w:rsidTr="00601E12">
        <w:tc>
          <w:tcPr>
            <w:tcW w:w="9524" w:type="dxa"/>
            <w:tcBorders>
              <w:top w:val="nil"/>
              <w:bottom w:val="nil"/>
            </w:tcBorders>
            <w:tcMar>
              <w:bottom w:w="142" w:type="dxa"/>
            </w:tcMar>
          </w:tcPr>
          <w:p w:rsidR="0066321D" w:rsidRPr="00544B00" w:rsidRDefault="0066321D" w:rsidP="0066321D">
            <w:pPr>
              <w:pStyle w:val="time"/>
              <w:framePr w:hSpace="0" w:vSpace="0" w:wrap="auto" w:vAnchor="margin" w:hAnchor="text" w:xAlign="left" w:yAlign="inline"/>
              <w:jc w:val="both"/>
            </w:pPr>
          </w:p>
        </w:tc>
      </w:tr>
    </w:tbl>
    <w:p w:rsidR="0045447A" w:rsidRDefault="0045447A" w:rsidP="00140291">
      <w:pPr>
        <w:pStyle w:val="textregular"/>
        <w:jc w:val="both"/>
      </w:pPr>
    </w:p>
    <w:p w:rsidR="007C7052" w:rsidRPr="007C7052" w:rsidRDefault="0045447A" w:rsidP="00F25CB1">
      <w:pPr>
        <w:spacing w:after="120"/>
        <w:ind w:left="360"/>
      </w:pPr>
      <w:r>
        <w:rPr>
          <w:lang w:val="ro"/>
        </w:rPr>
        <w:br w:type="page"/>
      </w:r>
      <w:r>
        <w:rPr>
          <w:lang w:val="ro"/>
        </w:rPr>
        <w:lastRenderedPageBreak/>
        <w:t>Toate OTS-urile de la granițele zonelor de ofertare Ungaria și România, având în vedere următoarele,</w:t>
      </w:r>
    </w:p>
    <w:p w:rsidR="007C7052" w:rsidRPr="007C7052" w:rsidRDefault="007C7052" w:rsidP="007C7052">
      <w:pPr>
        <w:spacing w:before="400" w:after="120" w:line="340" w:lineRule="exact"/>
        <w:jc w:val="center"/>
        <w:outlineLvl w:val="0"/>
        <w:rPr>
          <w:rFonts w:ascii="Times New Roman" w:hAnsi="Times New Roman" w:cstheme="majorHAnsi"/>
          <w:b/>
          <w:color w:val="23236E" w:themeColor="text2"/>
          <w:sz w:val="24"/>
          <w:szCs w:val="28"/>
        </w:rPr>
      </w:pPr>
      <w:r>
        <w:rPr>
          <w:rFonts w:ascii="Times New Roman" w:hAnsi="Times New Roman" w:cstheme="majorHAnsi"/>
          <w:b/>
          <w:bCs/>
          <w:color w:val="23236E" w:themeColor="text2"/>
          <w:sz w:val="24"/>
          <w:szCs w:val="28"/>
          <w:lang w:val="ro"/>
        </w:rPr>
        <w:t>Preambul</w:t>
      </w:r>
    </w:p>
    <w:p w:rsidR="001654AF" w:rsidRDefault="00720BD0" w:rsidP="00CF256D">
      <w:pPr>
        <w:numPr>
          <w:ilvl w:val="0"/>
          <w:numId w:val="5"/>
        </w:numPr>
        <w:spacing w:after="120" w:line="259" w:lineRule="auto"/>
        <w:contextualSpacing/>
        <w:jc w:val="both"/>
        <w:rPr>
          <w:rFonts w:eastAsia="Times New Roman"/>
        </w:rPr>
      </w:pPr>
      <w:r>
        <w:rPr>
          <w:lang w:val="ro"/>
        </w:rPr>
        <w:t>Prezentul document reprezintă o propunere comună elaborată de către Operatorii de Transport și de Sistem de la granițele zonelor de ofertare Ungaria și România (numite în continuare „</w:t>
      </w:r>
      <w:r>
        <w:rPr>
          <w:b/>
          <w:bCs/>
          <w:lang w:val="ro"/>
        </w:rPr>
        <w:t>OTS-uri implicate</w:t>
      </w:r>
      <w:r>
        <w:rPr>
          <w:lang w:val="ro"/>
        </w:rPr>
        <w:t>”) privind regulile de alocare a drepturilor fizice de transport (numit în continuare „</w:t>
      </w:r>
      <w:r>
        <w:rPr>
          <w:b/>
          <w:bCs/>
          <w:lang w:val="ro"/>
        </w:rPr>
        <w:t>Propunerea</w:t>
      </w:r>
      <w:r>
        <w:rPr>
          <w:lang w:val="ro"/>
        </w:rPr>
        <w:t>”) în conformitate cu articolul 36 din Regulamentul (UE) 2016/1719 al Comisiei de stabilire a unor orientări privind alocarea capacităților pe piața pe termen lung (numită în continuare „</w:t>
      </w:r>
      <w:r>
        <w:rPr>
          <w:b/>
          <w:bCs/>
          <w:lang w:val="ro"/>
        </w:rPr>
        <w:t>Regulament FCA</w:t>
      </w:r>
      <w:r>
        <w:rPr>
          <w:lang w:val="ro"/>
        </w:rPr>
        <w:t>”).</w:t>
      </w:r>
    </w:p>
    <w:p w:rsidR="001A3395" w:rsidRDefault="005C7410" w:rsidP="00601F26">
      <w:pPr>
        <w:numPr>
          <w:ilvl w:val="0"/>
          <w:numId w:val="5"/>
        </w:numPr>
        <w:spacing w:after="120" w:line="259" w:lineRule="auto"/>
        <w:contextualSpacing/>
        <w:jc w:val="both"/>
        <w:rPr>
          <w:rFonts w:eastAsia="Times New Roman"/>
        </w:rPr>
      </w:pPr>
      <w:r>
        <w:rPr>
          <w:lang w:val="ro"/>
        </w:rPr>
        <w:t xml:space="preserve">Articolul 31 din Regulamentul FCA stipulează că capacitatea interzonală pe termen lung se alocă participanților pe piață sub forma drepturilor fizice de transport pe baza principiului UIOSI sau sub forma DFT – opțiuni ori DFT – obligațiuni. Prezenta Propunere se aplică doar drepturilor fizice de transport dobândite în cadrul alocării capacităților pe piața pe termen lung. Propunerea stabilește regulile de alocare a drepturilor fizice de transport pentru granițele zonelor de ofertare ale OTS-urilor implicate. </w:t>
      </w:r>
    </w:p>
    <w:p w:rsidR="002309D3" w:rsidRPr="00A91858" w:rsidRDefault="00FE0011" w:rsidP="007F4396">
      <w:pPr>
        <w:numPr>
          <w:ilvl w:val="0"/>
          <w:numId w:val="5"/>
        </w:numPr>
        <w:spacing w:after="120" w:line="259" w:lineRule="auto"/>
        <w:contextualSpacing/>
        <w:jc w:val="both"/>
        <w:rPr>
          <w:rFonts w:eastAsia="Times New Roman"/>
        </w:rPr>
      </w:pPr>
      <w:r>
        <w:rPr>
          <w:lang w:val="ro"/>
        </w:rPr>
        <w:t xml:space="preserve">În conformitate cu articolul 36(2) din Regulamentul FCA, prezenta Propunere face obiectul consultării. Articolul 6 din Regulamentul FCA prevede ca propunerile prezentate la nivel bilateral sau multilateral să consulte cel puțin statele membre în cauză și consultarea să se deruleze pe o perioadă de cel puțin o lună. În mod corespunzător, prezenta Propunere a fost supusă consultării începând cu 27 iunie 2017 și până pe 18 august 2017.  </w:t>
      </w:r>
    </w:p>
    <w:p w:rsidR="006F0D01" w:rsidRDefault="00FD13B1" w:rsidP="000F06C8">
      <w:pPr>
        <w:numPr>
          <w:ilvl w:val="0"/>
          <w:numId w:val="5"/>
        </w:numPr>
        <w:spacing w:after="120" w:line="259" w:lineRule="auto"/>
        <w:contextualSpacing/>
        <w:jc w:val="both"/>
      </w:pPr>
      <w:r>
        <w:rPr>
          <w:lang w:val="ro"/>
        </w:rPr>
        <w:t>Prezenta Propunere este înaintată spre aprobare către toate Autoritățile Naționale de Reglementare (denumite în continuare „</w:t>
      </w:r>
      <w:r>
        <w:rPr>
          <w:b/>
          <w:bCs/>
          <w:lang w:val="ro"/>
        </w:rPr>
        <w:t>ANR</w:t>
      </w:r>
      <w:r>
        <w:rPr>
          <w:lang w:val="ro"/>
        </w:rPr>
        <w:t xml:space="preserve">”) de la granițele zonelor de ofertare ale OTS-urilor implicate. </w:t>
      </w:r>
    </w:p>
    <w:p w:rsidR="00E5345B" w:rsidRPr="00E5345B" w:rsidRDefault="003B6540" w:rsidP="00A736A7">
      <w:pPr>
        <w:numPr>
          <w:ilvl w:val="0"/>
          <w:numId w:val="5"/>
        </w:numPr>
        <w:spacing w:after="120" w:line="259" w:lineRule="auto"/>
        <w:contextualSpacing/>
        <w:jc w:val="both"/>
      </w:pPr>
      <w:r>
        <w:rPr>
          <w:lang w:val="ro"/>
        </w:rPr>
        <w:t xml:space="preserve">OTS-urile de la granițele zonelor de ofertare ale OTS-urilor implicate consideră că Regulamentul FCA permite transmiterea prezentei Propuneri la nivelul graniței zonei de ofertare, întrucât propunerile pentru regulile de alocare pentru Schimburile Programate de energie electrică între zonele de ofertare nu se regăsește la articolul 4 din Regulamentul FCA. Acestea au în vedere că articolul 36(3) din Regulamentul FCA impune tuturor OTS-urilor să armonizeze în mod progresiv regulile de alocare la toate granițele zonelor de ofertare unde se aplică drepturile fizice de transport. OTS-urile își asumă astfel să examineze în mod progresiv potențialul și nevoia de armonizare a acestor reguli, luând în considerare natura tehnică a acestora.  </w:t>
      </w:r>
    </w:p>
    <w:p w:rsidR="00B96C08" w:rsidRDefault="006840F9" w:rsidP="0028028F">
      <w:pPr>
        <w:numPr>
          <w:ilvl w:val="0"/>
          <w:numId w:val="5"/>
        </w:numPr>
        <w:spacing w:after="120" w:line="259" w:lineRule="auto"/>
        <w:contextualSpacing/>
        <w:jc w:val="both"/>
      </w:pPr>
      <w:r>
        <w:rPr>
          <w:lang w:val="ro"/>
        </w:rPr>
        <w:t xml:space="preserve">Prezenta Propunere contribuie în general la îndeplinirea obiectivelor articolului 3 din Regulamentul FCA. În mod particular, prezenta Propunere îndeplinește obiectivul de promovare a comerțului interzonal eficace pe termen lung, cu oportunități de hedging interzonal pe termen lung adresate participanților la piață, prin promovarea unui cadru transparent pentru regulile de alocare a drepturilor fizice de transport. </w:t>
      </w:r>
    </w:p>
    <w:p w:rsidR="003D6991" w:rsidRDefault="0033372B" w:rsidP="00601F26">
      <w:pPr>
        <w:numPr>
          <w:ilvl w:val="0"/>
          <w:numId w:val="5"/>
        </w:numPr>
        <w:spacing w:after="120" w:line="259" w:lineRule="auto"/>
        <w:contextualSpacing/>
        <w:jc w:val="both"/>
      </w:pPr>
      <w:r>
        <w:rPr>
          <w:lang w:val="ro"/>
        </w:rPr>
        <w:t xml:space="preserve">Prezenta propunere contribuie la furnizarea de acces nediscriminatoriu la capacitatea interzonală pe termen lung, prin detalierea procesului de alocare a drepturilor fizice de transport deja alocate în cadrul licitațiilor pe termen lung (sau procesul de transfer al acelui drept în conformitate cu articolul 44 din Regulamentul FCA). </w:t>
      </w:r>
    </w:p>
    <w:p w:rsidR="00B96C08" w:rsidRDefault="003D6991" w:rsidP="0028028F">
      <w:pPr>
        <w:numPr>
          <w:ilvl w:val="0"/>
          <w:numId w:val="5"/>
        </w:numPr>
        <w:spacing w:after="120" w:line="259" w:lineRule="auto"/>
        <w:contextualSpacing/>
        <w:jc w:val="both"/>
      </w:pPr>
      <w:bookmarkStart w:id="1" w:name="_Ref483053850"/>
      <w:r>
        <w:rPr>
          <w:lang w:val="ro"/>
        </w:rPr>
        <w:t>În plus, prezenta Propunere asigură tratamentul echitabil și nediscriminatoriu față de toate părțile implicate, întrucât aceasta stabilește reguli ce vor fi aplicate de către toate părțile. Înaintea aprobării, regulile detaliate în prezenta Propunere fac obiectul consultării publice, în conformitate cu articolul 6 din Regulamentul FCA.</w:t>
      </w:r>
      <w:bookmarkEnd w:id="1"/>
    </w:p>
    <w:p w:rsidR="005B0BF4" w:rsidRDefault="00390A88" w:rsidP="005B0BF4">
      <w:pPr>
        <w:numPr>
          <w:ilvl w:val="0"/>
          <w:numId w:val="5"/>
        </w:numPr>
        <w:spacing w:after="120" w:line="259" w:lineRule="auto"/>
        <w:contextualSpacing/>
        <w:jc w:val="both"/>
      </w:pPr>
      <w:r>
        <w:rPr>
          <w:lang w:val="ro"/>
        </w:rPr>
        <w:t xml:space="preserve">Cu privire la obiectivul transparenței și fiabilității informațiilor în cadrul alocării capacităților pe piața pe termen lung, prezenta Propunere include prevederi cu privire la schimbul de informații necesar între titularul drepturilor de transport și platforma de alocare, cu scopul de a derula alocarea. </w:t>
      </w:r>
    </w:p>
    <w:p w:rsidR="00390A88" w:rsidRPr="005B0BF4" w:rsidRDefault="005B0BF4" w:rsidP="005B0BF4">
      <w:pPr>
        <w:numPr>
          <w:ilvl w:val="0"/>
          <w:numId w:val="5"/>
        </w:numPr>
        <w:spacing w:after="120" w:line="259" w:lineRule="auto"/>
        <w:contextualSpacing/>
        <w:jc w:val="both"/>
      </w:pPr>
      <w:r>
        <w:rPr>
          <w:lang w:val="ro"/>
        </w:rPr>
        <w:lastRenderedPageBreak/>
        <w:t xml:space="preserve">În concluzie, prezenta Propunere contribuie la obiectivele generale ale Regulamentului FCA în beneficiul tuturor participanților la piață și a consumatorilor finali de energie electrică. </w:t>
      </w:r>
    </w:p>
    <w:p w:rsidR="006A4DF4" w:rsidRPr="006A4DF4" w:rsidRDefault="006A4DF4" w:rsidP="006A4DF4">
      <w:pPr>
        <w:spacing w:after="120" w:line="259" w:lineRule="auto"/>
        <w:ind w:left="720"/>
        <w:contextualSpacing/>
        <w:jc w:val="both"/>
      </w:pPr>
    </w:p>
    <w:p w:rsidR="007C7052" w:rsidRDefault="007C7052" w:rsidP="007C7052">
      <w:pPr>
        <w:spacing w:after="120"/>
        <w:jc w:val="both"/>
      </w:pPr>
      <w:r>
        <w:rPr>
          <w:lang w:val="ro"/>
        </w:rPr>
        <w:t>ÎNAINTEAZĂ URMĂTOAREA PROPUNERE TUTUROR AUTORITĂȚILOR DE REGLEMENTARE DE LA GRANIȚELE ZONELOR DE OFERTARE</w:t>
      </w:r>
      <w:r>
        <w:rPr>
          <w:caps/>
          <w:lang w:val="ro"/>
        </w:rPr>
        <w:t xml:space="preserve"> Ungaria și România:</w:t>
      </w:r>
    </w:p>
    <w:p w:rsidR="007D1FFC" w:rsidRPr="007D1FFC" w:rsidRDefault="007D1FFC" w:rsidP="007D1FFC">
      <w:pPr>
        <w:spacing w:before="400" w:after="120" w:line="340" w:lineRule="exact"/>
        <w:jc w:val="center"/>
        <w:outlineLvl w:val="0"/>
        <w:rPr>
          <w:rFonts w:cstheme="minorHAnsi"/>
          <w:b/>
          <w:color w:val="23236E" w:themeColor="text2"/>
          <w:sz w:val="24"/>
          <w:szCs w:val="28"/>
        </w:rPr>
      </w:pPr>
      <w:r>
        <w:rPr>
          <w:rFonts w:cstheme="minorHAnsi"/>
          <w:b/>
          <w:bCs/>
          <w:color w:val="23236E" w:themeColor="text2"/>
          <w:sz w:val="24"/>
          <w:szCs w:val="28"/>
          <w:lang w:val="ro"/>
        </w:rPr>
        <w:t xml:space="preserve">TITLUL 1 </w:t>
      </w:r>
      <w:r>
        <w:rPr>
          <w:rFonts w:cstheme="minorHAnsi"/>
          <w:color w:val="23236E" w:themeColor="text2"/>
          <w:sz w:val="24"/>
          <w:szCs w:val="28"/>
          <w:lang w:val="ro"/>
        </w:rPr>
        <w:br/>
      </w:r>
      <w:r>
        <w:rPr>
          <w:rFonts w:cstheme="minorHAnsi"/>
          <w:b/>
          <w:bCs/>
          <w:color w:val="23236E" w:themeColor="text2"/>
          <w:sz w:val="24"/>
          <w:szCs w:val="28"/>
          <w:lang w:val="ro"/>
        </w:rPr>
        <w:t>Dispoziții generale</w:t>
      </w:r>
    </w:p>
    <w:p w:rsidR="0064345A" w:rsidRPr="00D16C65" w:rsidRDefault="0064345A" w:rsidP="001008E1">
      <w:pPr>
        <w:spacing w:before="240" w:after="120" w:line="260" w:lineRule="exact"/>
        <w:jc w:val="center"/>
        <w:outlineLvl w:val="1"/>
        <w:rPr>
          <w:rFonts w:cstheme="minorHAnsi"/>
          <w:b/>
          <w:color w:val="23236E" w:themeColor="text2"/>
          <w:sz w:val="24"/>
          <w:szCs w:val="24"/>
        </w:rPr>
      </w:pPr>
      <w:bookmarkStart w:id="2" w:name="_Toc434343196"/>
      <w:bookmarkStart w:id="3" w:name="_Toc434227405"/>
      <w:bookmarkStart w:id="4" w:name="_Toc432586789"/>
      <w:bookmarkStart w:id="5" w:name="_Toc432586769"/>
      <w:r>
        <w:rPr>
          <w:rFonts w:ascii="Times New Roman" w:hAnsi="Times New Roman"/>
          <w:b/>
          <w:bCs/>
          <w:color w:val="23236E" w:themeColor="text2"/>
          <w:sz w:val="24"/>
          <w:szCs w:val="24"/>
          <w:lang w:val="ro"/>
        </w:rPr>
        <w:t>Articolul 1</w:t>
      </w:r>
      <w:r>
        <w:rPr>
          <w:color w:val="23236E" w:themeColor="text2"/>
          <w:sz w:val="24"/>
          <w:szCs w:val="24"/>
          <w:lang w:val="ro"/>
        </w:rPr>
        <w:br/>
      </w:r>
      <w:bookmarkEnd w:id="2"/>
      <w:bookmarkEnd w:id="3"/>
      <w:bookmarkEnd w:id="4"/>
      <w:bookmarkEnd w:id="5"/>
      <w:r>
        <w:rPr>
          <w:b/>
          <w:bCs/>
          <w:color w:val="23236E" w:themeColor="text2"/>
          <w:sz w:val="24"/>
          <w:szCs w:val="24"/>
          <w:lang w:val="ro"/>
        </w:rPr>
        <w:t xml:space="preserve">Subiect și domeniu de aplicare </w:t>
      </w:r>
    </w:p>
    <w:p w:rsidR="002C4F9F" w:rsidRPr="002C4F9F" w:rsidRDefault="002C4F9F" w:rsidP="00A736A7">
      <w:pPr>
        <w:pStyle w:val="ListParagraph"/>
        <w:numPr>
          <w:ilvl w:val="0"/>
          <w:numId w:val="6"/>
        </w:numPr>
        <w:rPr>
          <w:rFonts w:asciiTheme="minorHAnsi" w:hAnsiTheme="minorHAnsi" w:cstheme="minorHAnsi"/>
        </w:rPr>
      </w:pPr>
      <w:r>
        <w:rPr>
          <w:rFonts w:asciiTheme="minorHAnsi" w:hAnsiTheme="minorHAnsi" w:cstheme="minorHAnsi"/>
          <w:lang w:val="ro"/>
        </w:rPr>
        <w:t xml:space="preserve">Prezentul document descrie prevederile care guvernează Regulile de Alocare la granițele zonelor de ofertare dintre OTS-urile implicate. </w:t>
      </w:r>
    </w:p>
    <w:p w:rsidR="0045447A" w:rsidRPr="003953B9" w:rsidRDefault="009C73B4" w:rsidP="00316D2D">
      <w:pPr>
        <w:pStyle w:val="ListParagraph"/>
        <w:numPr>
          <w:ilvl w:val="0"/>
          <w:numId w:val="6"/>
        </w:numPr>
        <w:spacing w:after="120" w:line="259" w:lineRule="auto"/>
        <w:contextualSpacing/>
        <w:rPr>
          <w:rFonts w:asciiTheme="minorHAnsi" w:hAnsiTheme="minorHAnsi" w:cstheme="minorHAnsi"/>
        </w:rPr>
      </w:pPr>
      <w:r>
        <w:rPr>
          <w:rFonts w:asciiTheme="minorHAnsi" w:hAnsiTheme="minorHAnsi" w:cstheme="minorHAnsi"/>
          <w:lang w:val="ro"/>
        </w:rPr>
        <w:t xml:space="preserve">În conformitate cu Regulamentul FCA și alocarea armonizată aplicabilă a drepturilor de transport pe termen lung, elaborată în conformitate cu articolul 51 din Regulamentul FCA, prezenta Propunere se aplică titularilor de drepturi fizice de transport, contrapartidele acestora, unde este cazul, și părților eligibile care acționează în numele acestora. </w:t>
      </w:r>
    </w:p>
    <w:p w:rsidR="00450491" w:rsidRPr="00D16C65" w:rsidRDefault="00450491" w:rsidP="00B5799F">
      <w:pPr>
        <w:spacing w:after="120" w:line="259" w:lineRule="auto"/>
        <w:contextualSpacing/>
        <w:jc w:val="both"/>
        <w:rPr>
          <w:rFonts w:cstheme="minorHAnsi"/>
        </w:rPr>
      </w:pPr>
    </w:p>
    <w:p w:rsidR="002D68CE" w:rsidRPr="00D16C65" w:rsidRDefault="002D68CE" w:rsidP="002D68CE">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2</w:t>
      </w:r>
      <w:r>
        <w:rPr>
          <w:rFonts w:cstheme="minorHAnsi"/>
          <w:color w:val="23236E" w:themeColor="text2"/>
          <w:sz w:val="24"/>
          <w:szCs w:val="24"/>
          <w:lang w:val="ro"/>
        </w:rPr>
        <w:br/>
      </w:r>
      <w:r>
        <w:rPr>
          <w:rFonts w:cstheme="minorHAnsi"/>
          <w:b/>
          <w:bCs/>
          <w:color w:val="23236E" w:themeColor="text2"/>
          <w:sz w:val="24"/>
          <w:szCs w:val="24"/>
          <w:lang w:val="ro"/>
        </w:rPr>
        <w:t xml:space="preserve">Definiții și interpretări </w:t>
      </w:r>
    </w:p>
    <w:p w:rsidR="002D68CE" w:rsidRPr="00D16C65" w:rsidRDefault="002D68CE" w:rsidP="00AF3273">
      <w:pPr>
        <w:pStyle w:val="ListParagraph"/>
        <w:numPr>
          <w:ilvl w:val="0"/>
          <w:numId w:val="11"/>
        </w:numPr>
        <w:rPr>
          <w:rFonts w:asciiTheme="minorHAnsi" w:hAnsiTheme="minorHAnsi" w:cstheme="minorHAnsi"/>
        </w:rPr>
      </w:pPr>
      <w:r>
        <w:rPr>
          <w:rFonts w:asciiTheme="minorHAnsi" w:hAnsiTheme="minorHAnsi" w:cstheme="minorHAnsi"/>
          <w:lang w:val="ro"/>
        </w:rPr>
        <w:t>Termenii cu majuscule utilizați în prezenta Propunere pentru regulile de alocare au semnificația oferită acestora la articolul 2 din Regulamentul (CE) 714/2009, articolul 2 din Regulamentul (CE) 2013/543, articolul 2 din Regulamentul (CE) 2015/1222, articolul 2 din Directiva 2009/72/CE, Regulamentul (UE) 2016/1719 și în normele de alocare armonizate aplicabile privind drepturile de transport pe termen lung.</w:t>
      </w:r>
    </w:p>
    <w:p w:rsidR="002D68CE" w:rsidRDefault="002D68CE" w:rsidP="00AF3273">
      <w:pPr>
        <w:pStyle w:val="ListParagraph"/>
        <w:numPr>
          <w:ilvl w:val="0"/>
          <w:numId w:val="11"/>
        </w:numPr>
        <w:rPr>
          <w:rFonts w:asciiTheme="minorHAnsi" w:hAnsiTheme="minorHAnsi" w:cstheme="minorHAnsi"/>
        </w:rPr>
      </w:pPr>
      <w:r>
        <w:rPr>
          <w:rFonts w:asciiTheme="minorHAnsi" w:hAnsiTheme="minorHAnsi" w:cstheme="minorHAnsi"/>
          <w:lang w:val="ro"/>
        </w:rPr>
        <w:t>În plus, se aplică următoarele definiții:</w:t>
      </w:r>
    </w:p>
    <w:p w:rsidR="00316D2D" w:rsidRDefault="00012647" w:rsidP="005C0A2D">
      <w:pPr>
        <w:pStyle w:val="ListParagraph"/>
        <w:numPr>
          <w:ilvl w:val="1"/>
          <w:numId w:val="11"/>
        </w:numPr>
        <w:rPr>
          <w:rFonts w:asciiTheme="minorHAnsi" w:hAnsiTheme="minorHAnsi" w:cstheme="minorHAnsi"/>
        </w:rPr>
      </w:pPr>
      <w:r>
        <w:rPr>
          <w:rFonts w:asciiTheme="minorHAnsi" w:hAnsiTheme="minorHAnsi" w:cstheme="minorHAnsi"/>
          <w:lang w:val="ro"/>
        </w:rPr>
        <w:t>TRANSELECTRICA reprezintă CNTEE TRANSELECTRICA SA, OTS-ul din România;</w:t>
      </w:r>
    </w:p>
    <w:p w:rsidR="006611C4" w:rsidRDefault="0055078E" w:rsidP="0055078E">
      <w:pPr>
        <w:pStyle w:val="ListParagraph"/>
        <w:numPr>
          <w:ilvl w:val="1"/>
          <w:numId w:val="11"/>
        </w:numPr>
        <w:rPr>
          <w:rFonts w:asciiTheme="minorHAnsi" w:hAnsiTheme="minorHAnsi" w:cstheme="minorHAnsi"/>
        </w:rPr>
      </w:pPr>
      <w:r>
        <w:rPr>
          <w:rFonts w:asciiTheme="minorHAnsi" w:hAnsiTheme="minorHAnsi" w:cstheme="minorHAnsi"/>
          <w:lang w:val="ro"/>
        </w:rPr>
        <w:t>MAVIR reprezintă MAVIR Hungarian Independent Transmission Operator Company Ltd., OTS-ul din Ungaria;</w:t>
      </w:r>
    </w:p>
    <w:p w:rsidR="003234A6" w:rsidRDefault="003234A6" w:rsidP="0055078E">
      <w:pPr>
        <w:pStyle w:val="ListParagraph"/>
        <w:numPr>
          <w:ilvl w:val="1"/>
          <w:numId w:val="11"/>
        </w:numPr>
        <w:rPr>
          <w:rFonts w:asciiTheme="minorHAnsi" w:hAnsiTheme="minorHAnsi" w:cstheme="minorHAnsi"/>
        </w:rPr>
      </w:pPr>
      <w:r>
        <w:rPr>
          <w:rFonts w:asciiTheme="minorHAnsi" w:hAnsiTheme="minorHAnsi" w:cstheme="minorHAnsi"/>
          <w:lang w:val="ro"/>
        </w:rPr>
        <w:t>CAI reprezintă Identificarea Acordului de Capacitate;</w:t>
      </w:r>
    </w:p>
    <w:p w:rsidR="003234A6" w:rsidRDefault="00601F26" w:rsidP="0055078E">
      <w:pPr>
        <w:pStyle w:val="ListParagraph"/>
        <w:numPr>
          <w:ilvl w:val="1"/>
          <w:numId w:val="11"/>
        </w:numPr>
        <w:rPr>
          <w:rFonts w:asciiTheme="minorHAnsi" w:hAnsiTheme="minorHAnsi" w:cstheme="minorHAnsi"/>
        </w:rPr>
      </w:pPr>
      <w:r>
        <w:rPr>
          <w:rFonts w:asciiTheme="minorHAnsi" w:hAnsiTheme="minorHAnsi" w:cstheme="minorHAnsi"/>
          <w:lang w:val="ro"/>
        </w:rPr>
        <w:t>CCT reprezintă Tipul Contractului de Capacitate;</w:t>
      </w:r>
    </w:p>
    <w:p w:rsidR="00601F26" w:rsidRDefault="00601F26" w:rsidP="0055078E">
      <w:pPr>
        <w:pStyle w:val="ListParagraph"/>
        <w:numPr>
          <w:ilvl w:val="1"/>
          <w:numId w:val="11"/>
        </w:numPr>
        <w:rPr>
          <w:rFonts w:asciiTheme="minorHAnsi" w:hAnsiTheme="minorHAnsi" w:cstheme="minorHAnsi"/>
        </w:rPr>
      </w:pPr>
      <w:r>
        <w:rPr>
          <w:rFonts w:asciiTheme="minorHAnsi" w:hAnsiTheme="minorHAnsi" w:cstheme="minorHAnsi"/>
          <w:lang w:val="ro"/>
        </w:rPr>
        <w:t>EIC reprezintă Codul de Identificare a Energiei;</w:t>
      </w:r>
    </w:p>
    <w:p w:rsidR="00601F26" w:rsidRPr="00FD14F1" w:rsidRDefault="00601F26" w:rsidP="00601F26">
      <w:pPr>
        <w:pStyle w:val="ListParagraph"/>
        <w:numPr>
          <w:ilvl w:val="1"/>
          <w:numId w:val="11"/>
        </w:numPr>
        <w:rPr>
          <w:rFonts w:asciiTheme="minorHAnsi" w:hAnsiTheme="minorHAnsi" w:cstheme="minorHAnsi"/>
          <w:specVanish/>
        </w:rPr>
      </w:pPr>
      <w:r>
        <w:rPr>
          <w:rFonts w:asciiTheme="minorHAnsi" w:hAnsiTheme="minorHAnsi" w:cstheme="minorHAnsi"/>
          <w:lang w:val="ro"/>
        </w:rPr>
        <w:t>DFT reprezintă Drepturile Fizice de Transport;</w:t>
      </w:r>
    </w:p>
    <w:p w:rsidR="00601F26" w:rsidRDefault="00601F26" w:rsidP="00FD14F1">
      <w:pPr>
        <w:pStyle w:val="ListParagraph"/>
        <w:numPr>
          <w:ilvl w:val="1"/>
          <w:numId w:val="11"/>
        </w:numPr>
        <w:rPr>
          <w:rFonts w:asciiTheme="minorHAnsi" w:hAnsiTheme="minorHAnsi" w:cstheme="minorHAnsi"/>
        </w:rPr>
      </w:pPr>
      <w:r>
        <w:rPr>
          <w:rFonts w:asciiTheme="minorHAnsi" w:hAnsiTheme="minorHAnsi" w:cstheme="minorHAnsi"/>
          <w:lang w:val="ro"/>
        </w:rPr>
        <w:t>BT reprezintă Tipul de Activitate;</w:t>
      </w:r>
    </w:p>
    <w:p w:rsidR="00601F26" w:rsidRDefault="00601F26" w:rsidP="00FD14F1">
      <w:pPr>
        <w:pStyle w:val="ListParagraph"/>
        <w:numPr>
          <w:ilvl w:val="1"/>
          <w:numId w:val="11"/>
        </w:numPr>
        <w:rPr>
          <w:rFonts w:asciiTheme="minorHAnsi" w:hAnsiTheme="minorHAnsi" w:cstheme="minorHAnsi"/>
        </w:rPr>
      </w:pPr>
      <w:r>
        <w:rPr>
          <w:rFonts w:asciiTheme="minorHAnsi" w:hAnsiTheme="minorHAnsi" w:cstheme="minorHAnsi"/>
          <w:lang w:val="ro"/>
        </w:rPr>
        <w:t>RD reprezintă Documentul cu privire la Drepturi;</w:t>
      </w:r>
    </w:p>
    <w:p w:rsidR="00601F26" w:rsidRPr="00FD14F1" w:rsidRDefault="003C5035" w:rsidP="00FD14F1">
      <w:pPr>
        <w:pStyle w:val="ListParagraph"/>
        <w:numPr>
          <w:ilvl w:val="1"/>
          <w:numId w:val="11"/>
        </w:numPr>
        <w:rPr>
          <w:rFonts w:asciiTheme="minorHAnsi" w:hAnsiTheme="minorHAnsi" w:cstheme="minorHAnsi"/>
        </w:rPr>
      </w:pPr>
      <w:r>
        <w:rPr>
          <w:rFonts w:asciiTheme="minorHAnsi" w:hAnsiTheme="minorHAnsi" w:cstheme="minorHAnsi"/>
          <w:lang w:val="ro"/>
        </w:rPr>
        <w:t>COT reprezintă Momentul Limită de Timp;</w:t>
      </w:r>
    </w:p>
    <w:p w:rsidR="00DD1D4C" w:rsidRDefault="00DD1D4C" w:rsidP="00FD14F1">
      <w:pPr>
        <w:pStyle w:val="ListParagraph"/>
        <w:numPr>
          <w:ilvl w:val="1"/>
          <w:numId w:val="11"/>
        </w:numPr>
        <w:rPr>
          <w:rFonts w:asciiTheme="minorHAnsi" w:hAnsiTheme="minorHAnsi" w:cstheme="minorHAnsi"/>
        </w:rPr>
      </w:pPr>
      <w:r>
        <w:rPr>
          <w:rFonts w:asciiTheme="minorHAnsi" w:hAnsiTheme="minorHAnsi" w:cstheme="minorHAnsi"/>
          <w:lang w:val="ro"/>
        </w:rPr>
        <w:t>ACK reprezintă Documentul de confirmare a primirii;</w:t>
      </w:r>
    </w:p>
    <w:p w:rsidR="00601F26" w:rsidRDefault="004A7CDC" w:rsidP="00FD14F1">
      <w:pPr>
        <w:pStyle w:val="ListParagraph"/>
        <w:numPr>
          <w:ilvl w:val="1"/>
          <w:numId w:val="11"/>
        </w:numPr>
        <w:rPr>
          <w:rFonts w:asciiTheme="minorHAnsi" w:hAnsiTheme="minorHAnsi" w:cstheme="minorHAnsi"/>
        </w:rPr>
      </w:pPr>
      <w:r>
        <w:rPr>
          <w:rFonts w:asciiTheme="minorHAnsi" w:hAnsiTheme="minorHAnsi" w:cstheme="minorHAnsi"/>
          <w:lang w:val="ro"/>
        </w:rPr>
        <w:t>CNF reprezintă Raportul de Confirmare;</w:t>
      </w:r>
    </w:p>
    <w:p w:rsidR="004A7CDC" w:rsidRDefault="004A7CDC" w:rsidP="00FD14F1">
      <w:pPr>
        <w:pStyle w:val="ListParagraph"/>
        <w:numPr>
          <w:ilvl w:val="1"/>
          <w:numId w:val="11"/>
        </w:numPr>
        <w:rPr>
          <w:rFonts w:asciiTheme="minorHAnsi" w:hAnsiTheme="minorHAnsi" w:cstheme="minorHAnsi"/>
        </w:rPr>
      </w:pPr>
      <w:r>
        <w:rPr>
          <w:rFonts w:asciiTheme="minorHAnsi" w:hAnsiTheme="minorHAnsi" w:cstheme="minorHAnsi"/>
          <w:lang w:val="ro"/>
        </w:rPr>
        <w:lastRenderedPageBreak/>
        <w:t>ANO reprezintă Raportul de Anomalie;</w:t>
      </w:r>
    </w:p>
    <w:p w:rsidR="004A7CDC" w:rsidRDefault="00DD1D4C" w:rsidP="00FD14F1">
      <w:pPr>
        <w:pStyle w:val="ListParagraph"/>
        <w:numPr>
          <w:ilvl w:val="1"/>
          <w:numId w:val="11"/>
        </w:numPr>
        <w:rPr>
          <w:rFonts w:asciiTheme="minorHAnsi" w:hAnsiTheme="minorHAnsi" w:cstheme="minorHAnsi"/>
        </w:rPr>
      </w:pPr>
      <w:r>
        <w:rPr>
          <w:rFonts w:asciiTheme="minorHAnsi" w:hAnsiTheme="minorHAnsi" w:cstheme="minorHAnsi"/>
          <w:lang w:val="ro"/>
        </w:rPr>
        <w:t>ESS reprezintă Standardul de Programare ETSO.</w:t>
      </w:r>
    </w:p>
    <w:p w:rsidR="002D68CE" w:rsidRPr="0055078E" w:rsidRDefault="002D68CE" w:rsidP="0055078E">
      <w:pPr>
        <w:spacing w:after="120" w:line="259" w:lineRule="auto"/>
        <w:contextualSpacing/>
        <w:rPr>
          <w:rFonts w:cstheme="minorHAnsi"/>
        </w:rPr>
      </w:pPr>
    </w:p>
    <w:p w:rsidR="00F7019C" w:rsidRDefault="00F7019C" w:rsidP="00264751">
      <w:pPr>
        <w:spacing w:after="120" w:line="260" w:lineRule="exact"/>
        <w:jc w:val="center"/>
        <w:outlineLvl w:val="1"/>
        <w:rPr>
          <w:rFonts w:cstheme="minorHAnsi"/>
          <w:b/>
          <w:color w:val="23236E" w:themeColor="text2"/>
          <w:sz w:val="24"/>
          <w:szCs w:val="24"/>
        </w:rPr>
      </w:pPr>
    </w:p>
    <w:p w:rsidR="00264751" w:rsidRPr="00D16C65" w:rsidRDefault="00264751" w:rsidP="00264751">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3</w:t>
      </w:r>
      <w:r>
        <w:rPr>
          <w:rFonts w:cstheme="minorHAnsi"/>
          <w:color w:val="23236E" w:themeColor="text2"/>
          <w:sz w:val="24"/>
          <w:szCs w:val="24"/>
          <w:lang w:val="ro"/>
        </w:rPr>
        <w:br/>
      </w:r>
      <w:bookmarkStart w:id="6" w:name="_Toc480543937"/>
      <w:bookmarkStart w:id="7" w:name="_Toc445903567"/>
      <w:bookmarkStart w:id="8" w:name="_Ref404585827"/>
      <w:r>
        <w:rPr>
          <w:rFonts w:cstheme="minorHAnsi"/>
          <w:b/>
          <w:bCs/>
          <w:color w:val="23236E" w:themeColor="text2"/>
          <w:sz w:val="24"/>
          <w:szCs w:val="24"/>
          <w:lang w:val="ro"/>
        </w:rPr>
        <w:t>Intrarea în vigoare și aplicarea</w:t>
      </w:r>
      <w:bookmarkEnd w:id="6"/>
      <w:bookmarkEnd w:id="7"/>
      <w:bookmarkEnd w:id="8"/>
      <w:r>
        <w:rPr>
          <w:rFonts w:cstheme="minorHAnsi"/>
          <w:color w:val="23236E" w:themeColor="text2"/>
          <w:sz w:val="24"/>
          <w:szCs w:val="24"/>
          <w:lang w:val="ro"/>
        </w:rPr>
        <w:t xml:space="preserve"> </w:t>
      </w:r>
    </w:p>
    <w:p w:rsidR="002E4926" w:rsidRDefault="004A1E7D" w:rsidP="00B9645F">
      <w:pPr>
        <w:spacing w:after="120" w:line="259" w:lineRule="auto"/>
        <w:contextualSpacing/>
        <w:jc w:val="both"/>
        <w:rPr>
          <w:rFonts w:cstheme="minorHAnsi"/>
        </w:rPr>
      </w:pPr>
      <w:r>
        <w:rPr>
          <w:rFonts w:cstheme="minorHAnsi"/>
          <w:lang w:val="ro"/>
        </w:rPr>
        <w:t xml:space="preserve">Prezenta Propunere pentru regulile de alocare intră în vigoare în conformitate cu regimurile naționale de reglementare aplicabile. Regulile descrise în prezenta Propunere se aplică cât mai curând posibil după aprobarea din partea ANR-urilor în cauză, în conformitate cu articolul 4 din Regulamentul FCA. Data intrării în vigoare va fi publicată pentru granițele zonelor de ofertare ale OTS-urilor relevante, pe website-ul acestora. </w:t>
      </w:r>
    </w:p>
    <w:p w:rsidR="00B9645F" w:rsidRDefault="00B9645F">
      <w:pPr>
        <w:rPr>
          <w:rFonts w:cstheme="minorHAnsi"/>
          <w:b/>
          <w:color w:val="23236E" w:themeColor="text2"/>
          <w:sz w:val="24"/>
          <w:szCs w:val="28"/>
        </w:rPr>
      </w:pPr>
      <w:r>
        <w:rPr>
          <w:rFonts w:cstheme="minorHAnsi"/>
          <w:b/>
          <w:bCs/>
          <w:color w:val="23236E" w:themeColor="text2"/>
          <w:sz w:val="24"/>
          <w:szCs w:val="28"/>
          <w:lang w:val="ro"/>
        </w:rPr>
        <w:br w:type="page"/>
      </w:r>
    </w:p>
    <w:p w:rsidR="001D41D8" w:rsidRPr="00D16C65" w:rsidRDefault="00B5799F" w:rsidP="001D41D8">
      <w:pPr>
        <w:spacing w:before="400" w:after="120" w:line="340" w:lineRule="exact"/>
        <w:jc w:val="center"/>
        <w:outlineLvl w:val="0"/>
        <w:rPr>
          <w:rFonts w:cstheme="minorHAnsi"/>
          <w:b/>
          <w:color w:val="23236E" w:themeColor="text2"/>
          <w:sz w:val="24"/>
          <w:szCs w:val="28"/>
        </w:rPr>
      </w:pPr>
      <w:r>
        <w:rPr>
          <w:rFonts w:cstheme="minorHAnsi"/>
          <w:b/>
          <w:bCs/>
          <w:color w:val="23236E" w:themeColor="text2"/>
          <w:sz w:val="24"/>
          <w:szCs w:val="28"/>
          <w:lang w:val="ro"/>
        </w:rPr>
        <w:lastRenderedPageBreak/>
        <w:t xml:space="preserve">TITLUL 2 </w:t>
      </w:r>
      <w:r>
        <w:rPr>
          <w:rFonts w:cstheme="minorHAnsi"/>
          <w:color w:val="23236E" w:themeColor="text2"/>
          <w:sz w:val="24"/>
          <w:szCs w:val="28"/>
          <w:lang w:val="ro"/>
        </w:rPr>
        <w:br/>
      </w:r>
      <w:bookmarkStart w:id="9" w:name="_Toc480543938"/>
      <w:bookmarkStart w:id="10" w:name="_Ref406754556"/>
      <w:bookmarkStart w:id="11" w:name="_Toc445903568"/>
      <w:r>
        <w:rPr>
          <w:rFonts w:cstheme="minorHAnsi"/>
          <w:b/>
          <w:bCs/>
          <w:color w:val="23236E" w:themeColor="text2"/>
          <w:sz w:val="24"/>
          <w:szCs w:val="28"/>
          <w:lang w:val="ro"/>
        </w:rPr>
        <w:t>Reguli de alocare</w:t>
      </w:r>
      <w:bookmarkEnd w:id="9"/>
      <w:bookmarkEnd w:id="10"/>
      <w:bookmarkEnd w:id="11"/>
    </w:p>
    <w:p w:rsidR="00B5799F" w:rsidRPr="00D16C65" w:rsidRDefault="00B5799F" w:rsidP="00B5799F">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4</w:t>
      </w:r>
      <w:r>
        <w:rPr>
          <w:rFonts w:cstheme="minorHAnsi"/>
          <w:color w:val="23236E" w:themeColor="text2"/>
          <w:sz w:val="24"/>
          <w:szCs w:val="24"/>
          <w:lang w:val="ro"/>
        </w:rPr>
        <w:br/>
      </w:r>
      <w:r>
        <w:rPr>
          <w:rFonts w:cstheme="minorHAnsi"/>
          <w:b/>
          <w:bCs/>
          <w:color w:val="23236E" w:themeColor="text2"/>
          <w:sz w:val="24"/>
          <w:szCs w:val="24"/>
          <w:lang w:val="ro"/>
        </w:rPr>
        <w:t xml:space="preserve">Dreptul unui titular de drepturi fizice de transport să aloce schimburi programate </w:t>
      </w:r>
    </w:p>
    <w:p w:rsidR="004D17C2" w:rsidRDefault="004D17C2" w:rsidP="002D2455">
      <w:pPr>
        <w:spacing w:after="120" w:line="259" w:lineRule="auto"/>
        <w:contextualSpacing/>
        <w:jc w:val="both"/>
        <w:rPr>
          <w:rFonts w:cstheme="minorHAnsi"/>
          <w:highlight w:val="yellow"/>
        </w:rPr>
      </w:pPr>
    </w:p>
    <w:p w:rsidR="00F25CB1" w:rsidRPr="00AA21F7" w:rsidRDefault="00A736A7" w:rsidP="00F25CB1">
      <w:pPr>
        <w:spacing w:after="120" w:line="259" w:lineRule="auto"/>
        <w:contextualSpacing/>
        <w:jc w:val="both"/>
        <w:rPr>
          <w:rFonts w:cstheme="minorHAnsi"/>
        </w:rPr>
      </w:pPr>
      <w:r>
        <w:rPr>
          <w:rFonts w:cstheme="minorHAnsi"/>
          <w:lang w:val="ro"/>
        </w:rPr>
        <w:t>OTS-urile implicate stabilesc următoarele condiții prealabile pentru utilizarea DFT-urilor și pentru utilizarea rețelelor electrice de transport ale acestora:</w:t>
      </w:r>
    </w:p>
    <w:tbl>
      <w:tblPr>
        <w:tblStyle w:val="TableGrid"/>
        <w:tblW w:w="0" w:type="auto"/>
        <w:tblLook w:val="04A0" w:firstRow="1" w:lastRow="0" w:firstColumn="1" w:lastColumn="0" w:noHBand="0" w:noVBand="1"/>
      </w:tblPr>
      <w:tblGrid>
        <w:gridCol w:w="2148"/>
        <w:gridCol w:w="7592"/>
      </w:tblGrid>
      <w:tr w:rsidR="004D17C2" w:rsidTr="00AA21F7">
        <w:trPr>
          <w:trHeight w:val="546"/>
        </w:trPr>
        <w:tc>
          <w:tcPr>
            <w:tcW w:w="1413" w:type="dxa"/>
            <w:vAlign w:val="center"/>
          </w:tcPr>
          <w:p w:rsidR="004D17C2" w:rsidRPr="00AA21F7" w:rsidRDefault="00F25CB1" w:rsidP="00AA21F7">
            <w:pPr>
              <w:spacing w:after="120" w:line="259" w:lineRule="auto"/>
              <w:contextualSpacing/>
              <w:jc w:val="right"/>
              <w:rPr>
                <w:rFonts w:cstheme="minorHAnsi"/>
              </w:rPr>
            </w:pPr>
            <w:r>
              <w:rPr>
                <w:rFonts w:cstheme="minorHAnsi"/>
                <w:lang w:val="ro"/>
              </w:rPr>
              <w:t>MAVIR</w:t>
            </w:r>
          </w:p>
        </w:tc>
        <w:tc>
          <w:tcPr>
            <w:tcW w:w="8101" w:type="dxa"/>
            <w:vAlign w:val="center"/>
          </w:tcPr>
          <w:p w:rsidR="004D17C2" w:rsidRDefault="00C23195" w:rsidP="00C23195">
            <w:pPr>
              <w:spacing w:after="120" w:line="259" w:lineRule="auto"/>
              <w:contextualSpacing/>
              <w:rPr>
                <w:rFonts w:cstheme="minorHAnsi"/>
                <w:highlight w:val="yellow"/>
              </w:rPr>
            </w:pPr>
            <w:r>
              <w:rPr>
                <w:rFonts w:cstheme="minorHAnsi"/>
                <w:lang w:val="ro"/>
              </w:rPr>
              <w:t>Titularii de DFT trebuie să dețină un contract de echilibrare valabil și în vigoare cu MAVIR sau o apartenență la un grup responsabil cu echilibrarea din Ungaria, precum și un contract de utilizare a sistemului valabil și în vigoare.</w:t>
            </w:r>
          </w:p>
        </w:tc>
      </w:tr>
      <w:tr w:rsidR="004D17C2" w:rsidTr="00AA21F7">
        <w:trPr>
          <w:trHeight w:val="546"/>
        </w:trPr>
        <w:tc>
          <w:tcPr>
            <w:tcW w:w="1413" w:type="dxa"/>
            <w:vAlign w:val="center"/>
          </w:tcPr>
          <w:p w:rsidR="004D17C2" w:rsidRPr="00AA21F7" w:rsidRDefault="00012647" w:rsidP="00AA21F7">
            <w:pPr>
              <w:spacing w:after="120" w:line="259" w:lineRule="auto"/>
              <w:contextualSpacing/>
              <w:jc w:val="right"/>
              <w:rPr>
                <w:rFonts w:cstheme="minorHAnsi"/>
              </w:rPr>
            </w:pPr>
            <w:r>
              <w:rPr>
                <w:rFonts w:cstheme="minorHAnsi"/>
                <w:lang w:val="ro"/>
              </w:rPr>
              <w:t>TRANSELECTRICA</w:t>
            </w:r>
          </w:p>
        </w:tc>
        <w:tc>
          <w:tcPr>
            <w:tcW w:w="8101" w:type="dxa"/>
            <w:vAlign w:val="center"/>
          </w:tcPr>
          <w:p w:rsidR="004D17C2" w:rsidRDefault="007D5DC3" w:rsidP="007D5DC3">
            <w:pPr>
              <w:spacing w:after="120" w:line="259" w:lineRule="auto"/>
              <w:contextualSpacing/>
              <w:rPr>
                <w:rFonts w:cstheme="minorHAnsi"/>
                <w:highlight w:val="yellow"/>
              </w:rPr>
            </w:pPr>
            <w:r>
              <w:rPr>
                <w:rFonts w:cstheme="minorHAnsi"/>
                <w:lang w:val="ro"/>
              </w:rPr>
              <w:t>Titularii de DFT trebuie să dețină un contract de echilibrare valabil și în vigoare cu TRANSELECTRICA sau o apartenență la un grup responsabil cu echilibrarea din România. Acestui participant la piață i s-a alocat funcția de titular de capacitate sau are o contraparte transfrontalieră pe partea MAVIR căreia i s-a alocat funcția de titular de capacitate.</w:t>
            </w:r>
          </w:p>
        </w:tc>
      </w:tr>
    </w:tbl>
    <w:p w:rsidR="004D17C2" w:rsidRDefault="004D17C2" w:rsidP="002D2455">
      <w:pPr>
        <w:spacing w:after="120" w:line="259" w:lineRule="auto"/>
        <w:contextualSpacing/>
        <w:jc w:val="both"/>
        <w:rPr>
          <w:rFonts w:cstheme="minorHAnsi"/>
          <w:highlight w:val="yellow"/>
        </w:rPr>
      </w:pPr>
    </w:p>
    <w:p w:rsidR="00E85082" w:rsidRPr="00D16C65" w:rsidRDefault="00E85082" w:rsidP="002D2455">
      <w:pPr>
        <w:spacing w:after="120" w:line="259" w:lineRule="auto"/>
        <w:contextualSpacing/>
        <w:jc w:val="both"/>
        <w:rPr>
          <w:rFonts w:cstheme="minorHAnsi"/>
        </w:rPr>
      </w:pPr>
    </w:p>
    <w:p w:rsidR="003E4A51" w:rsidRPr="00D16C65" w:rsidRDefault="003E4A51" w:rsidP="003E4A51">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5</w:t>
      </w:r>
      <w:r>
        <w:rPr>
          <w:rFonts w:cstheme="minorHAnsi"/>
          <w:color w:val="23236E" w:themeColor="text2"/>
          <w:sz w:val="24"/>
          <w:szCs w:val="24"/>
          <w:lang w:val="ro"/>
        </w:rPr>
        <w:br/>
      </w:r>
      <w:r>
        <w:rPr>
          <w:rFonts w:cstheme="minorHAnsi"/>
          <w:b/>
          <w:bCs/>
          <w:color w:val="23236E" w:themeColor="text2"/>
          <w:sz w:val="24"/>
          <w:szCs w:val="24"/>
          <w:lang w:val="ro"/>
        </w:rPr>
        <w:t xml:space="preserve">Cerințe tehnice minime pentru alocare </w:t>
      </w:r>
    </w:p>
    <w:p w:rsidR="00AA21F7" w:rsidRPr="00AA21F7" w:rsidRDefault="00A736A7" w:rsidP="00AA21F7">
      <w:pPr>
        <w:spacing w:after="120" w:line="259" w:lineRule="auto"/>
        <w:contextualSpacing/>
        <w:jc w:val="both"/>
        <w:rPr>
          <w:rFonts w:cstheme="minorHAnsi"/>
        </w:rPr>
      </w:pPr>
      <w:r>
        <w:rPr>
          <w:rFonts w:cstheme="minorHAnsi"/>
          <w:lang w:val="ro"/>
        </w:rPr>
        <w:t>OTS-urile implicate stabilesc următoarele cerințe tehnice minime pentru accesarea sistemului de programare local al acestora pentru alocarea DFT-urilor:</w:t>
      </w:r>
    </w:p>
    <w:tbl>
      <w:tblPr>
        <w:tblStyle w:val="TableGrid"/>
        <w:tblW w:w="0" w:type="auto"/>
        <w:tblLook w:val="04A0" w:firstRow="1" w:lastRow="0" w:firstColumn="1" w:lastColumn="0" w:noHBand="0" w:noVBand="1"/>
      </w:tblPr>
      <w:tblGrid>
        <w:gridCol w:w="2148"/>
        <w:gridCol w:w="7592"/>
      </w:tblGrid>
      <w:tr w:rsidR="00AA21F7" w:rsidTr="005B7759">
        <w:trPr>
          <w:trHeight w:val="546"/>
        </w:trPr>
        <w:tc>
          <w:tcPr>
            <w:tcW w:w="1413" w:type="dxa"/>
            <w:vAlign w:val="center"/>
          </w:tcPr>
          <w:p w:rsidR="00AA21F7" w:rsidRPr="00AA21F7" w:rsidRDefault="00AA21F7" w:rsidP="005B7759">
            <w:pPr>
              <w:spacing w:after="120" w:line="259" w:lineRule="auto"/>
              <w:contextualSpacing/>
              <w:jc w:val="right"/>
              <w:rPr>
                <w:rFonts w:cstheme="minorHAnsi"/>
              </w:rPr>
            </w:pPr>
            <w:r>
              <w:rPr>
                <w:rFonts w:cstheme="minorHAnsi"/>
                <w:lang w:val="ro"/>
              </w:rPr>
              <w:t>MAVIR</w:t>
            </w:r>
          </w:p>
        </w:tc>
        <w:tc>
          <w:tcPr>
            <w:tcW w:w="8101" w:type="dxa"/>
            <w:vAlign w:val="center"/>
          </w:tcPr>
          <w:p w:rsidR="00AA21F7" w:rsidRDefault="00280BDF" w:rsidP="00280BDF">
            <w:pPr>
              <w:spacing w:after="120" w:line="259" w:lineRule="auto"/>
              <w:contextualSpacing/>
              <w:rPr>
                <w:rFonts w:cstheme="minorHAnsi"/>
                <w:highlight w:val="yellow"/>
              </w:rPr>
            </w:pPr>
            <w:r>
              <w:rPr>
                <w:rFonts w:cstheme="minorHAnsi"/>
                <w:lang w:val="ro"/>
              </w:rPr>
              <w:t>Sistemul de programare MAVIR este o aplicație web, iar cerințele tehnice minime aferente sunt publicate pe website-ul MAVIR (</w:t>
            </w:r>
            <w:hyperlink r:id="rId11" w:history="1">
              <w:r>
                <w:rPr>
                  <w:rStyle w:val="Hyperlink"/>
                  <w:rFonts w:cstheme="minorHAnsi"/>
                  <w:lang w:val="ro"/>
                </w:rPr>
                <w:t>www.mavir.hu</w:t>
              </w:r>
            </w:hyperlink>
            <w:r>
              <w:rPr>
                <w:rFonts w:cstheme="minorHAnsi"/>
                <w:lang w:val="ro"/>
              </w:rPr>
              <w:t xml:space="preserve">). </w:t>
            </w:r>
          </w:p>
        </w:tc>
      </w:tr>
      <w:tr w:rsidR="00AA21F7" w:rsidTr="005B7759">
        <w:trPr>
          <w:trHeight w:val="546"/>
        </w:trPr>
        <w:tc>
          <w:tcPr>
            <w:tcW w:w="1413" w:type="dxa"/>
            <w:vAlign w:val="center"/>
          </w:tcPr>
          <w:p w:rsidR="00AA21F7" w:rsidRPr="00AA21F7" w:rsidRDefault="00012647" w:rsidP="005B7759">
            <w:pPr>
              <w:spacing w:after="120" w:line="259" w:lineRule="auto"/>
              <w:contextualSpacing/>
              <w:jc w:val="right"/>
              <w:rPr>
                <w:rFonts w:cstheme="minorHAnsi"/>
              </w:rPr>
            </w:pPr>
            <w:r>
              <w:rPr>
                <w:rFonts w:cstheme="minorHAnsi"/>
                <w:lang w:val="ro"/>
              </w:rPr>
              <w:t>TRANSELECTRICA</w:t>
            </w:r>
          </w:p>
        </w:tc>
        <w:tc>
          <w:tcPr>
            <w:tcW w:w="8101" w:type="dxa"/>
            <w:vAlign w:val="center"/>
          </w:tcPr>
          <w:p w:rsidR="00AA21F7" w:rsidRDefault="00012647">
            <w:pPr>
              <w:spacing w:after="120" w:line="259" w:lineRule="auto"/>
              <w:contextualSpacing/>
              <w:rPr>
                <w:rFonts w:cstheme="minorHAnsi"/>
                <w:highlight w:val="yellow"/>
              </w:rPr>
            </w:pPr>
            <w:r>
              <w:rPr>
                <w:rFonts w:cstheme="minorHAnsi"/>
                <w:lang w:val="ro"/>
              </w:rPr>
              <w:t>Sistemul de programare TRANSELECTRICA este o aplicație web, iar cerințele tehnice minime aferente sunt publicate pe website-ul TRANSELECTRICA (www.transelectrica.ro).</w:t>
            </w:r>
          </w:p>
        </w:tc>
      </w:tr>
    </w:tbl>
    <w:p w:rsidR="00AA21F7" w:rsidRDefault="00AA21F7" w:rsidP="00AA21F7">
      <w:pPr>
        <w:spacing w:after="120" w:line="259" w:lineRule="auto"/>
        <w:contextualSpacing/>
        <w:jc w:val="both"/>
        <w:rPr>
          <w:rFonts w:cstheme="minorHAnsi"/>
          <w:highlight w:val="yellow"/>
        </w:rPr>
      </w:pPr>
    </w:p>
    <w:p w:rsidR="00E85082" w:rsidRPr="00D16C65" w:rsidRDefault="00AA21F7" w:rsidP="007D1FFC">
      <w:r>
        <w:rPr>
          <w:highlight w:val="yellow"/>
          <w:lang w:val="ro"/>
        </w:rPr>
        <w:t xml:space="preserve"> </w:t>
      </w:r>
    </w:p>
    <w:p w:rsidR="0067038F" w:rsidRDefault="0067038F" w:rsidP="0067038F">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6</w:t>
      </w:r>
      <w:r>
        <w:rPr>
          <w:rFonts w:cstheme="minorHAnsi"/>
          <w:color w:val="23236E" w:themeColor="text2"/>
          <w:sz w:val="24"/>
          <w:szCs w:val="24"/>
          <w:lang w:val="ro"/>
        </w:rPr>
        <w:br/>
      </w:r>
      <w:r>
        <w:rPr>
          <w:rFonts w:cstheme="minorHAnsi"/>
          <w:b/>
          <w:bCs/>
          <w:color w:val="23236E" w:themeColor="text2"/>
          <w:sz w:val="24"/>
          <w:szCs w:val="24"/>
          <w:lang w:val="ro"/>
        </w:rPr>
        <w:t>Descrierea procesului de alocare</w:t>
      </w:r>
    </w:p>
    <w:p w:rsidR="00C23195" w:rsidRDefault="00C23195" w:rsidP="00C23195"/>
    <w:p w:rsidR="001A5F15" w:rsidRDefault="001B2377" w:rsidP="001B2377">
      <w:pPr>
        <w:pStyle w:val="ListParagraph"/>
        <w:numPr>
          <w:ilvl w:val="0"/>
          <w:numId w:val="15"/>
        </w:numPr>
        <w:rPr>
          <w:rFonts w:asciiTheme="minorHAnsi" w:hAnsiTheme="minorHAnsi" w:cstheme="minorHAnsi"/>
        </w:rPr>
      </w:pPr>
      <w:r>
        <w:rPr>
          <w:rFonts w:asciiTheme="minorHAnsi" w:hAnsiTheme="minorHAnsi" w:cstheme="minorHAnsi"/>
          <w:lang w:val="ro"/>
        </w:rPr>
        <w:t>Schimburile Programate vor fi transmise către OTS-uri în conformitate cu regulile pieței locale din cadrul standardelor ESS definite la articolul 8 din prezenta Propunere;</w:t>
      </w:r>
    </w:p>
    <w:p w:rsidR="001A5F15" w:rsidRDefault="001A5F15" w:rsidP="001A5F15">
      <w:pPr>
        <w:pStyle w:val="ListParagraph"/>
        <w:numPr>
          <w:ilvl w:val="0"/>
          <w:numId w:val="15"/>
        </w:numPr>
        <w:rPr>
          <w:rFonts w:asciiTheme="minorHAnsi" w:hAnsiTheme="minorHAnsi" w:cstheme="minorHAnsi"/>
        </w:rPr>
      </w:pPr>
      <w:r>
        <w:rPr>
          <w:rFonts w:asciiTheme="minorHAnsi" w:hAnsiTheme="minorHAnsi" w:cstheme="minorHAnsi"/>
          <w:lang w:val="ro"/>
        </w:rPr>
        <w:t>O alocare se acceptă în următoarele condiții:</w:t>
      </w:r>
    </w:p>
    <w:p w:rsidR="001A5F15" w:rsidRDefault="001A5F15" w:rsidP="001A5F15">
      <w:pPr>
        <w:pStyle w:val="ListParagraph"/>
        <w:numPr>
          <w:ilvl w:val="1"/>
          <w:numId w:val="15"/>
        </w:numPr>
        <w:rPr>
          <w:rFonts w:asciiTheme="minorHAnsi" w:hAnsiTheme="minorHAnsi" w:cstheme="minorHAnsi"/>
        </w:rPr>
      </w:pPr>
      <w:r>
        <w:rPr>
          <w:rFonts w:asciiTheme="minorHAnsi" w:hAnsiTheme="minorHAnsi" w:cstheme="minorHAnsi"/>
          <w:lang w:val="ro"/>
        </w:rPr>
        <w:t>Participantul la piață expeditor are acces la rețea în zona OTS-ului receptor;</w:t>
      </w:r>
    </w:p>
    <w:p w:rsidR="001A5F15" w:rsidRDefault="001A5F15" w:rsidP="001A5F15">
      <w:pPr>
        <w:pStyle w:val="ListParagraph"/>
        <w:numPr>
          <w:ilvl w:val="1"/>
          <w:numId w:val="15"/>
        </w:numPr>
        <w:rPr>
          <w:rFonts w:asciiTheme="minorHAnsi" w:hAnsiTheme="minorHAnsi" w:cstheme="minorHAnsi"/>
        </w:rPr>
      </w:pPr>
      <w:r>
        <w:rPr>
          <w:rFonts w:asciiTheme="minorHAnsi" w:hAnsiTheme="minorHAnsi" w:cstheme="minorHAnsi"/>
          <w:lang w:val="ro"/>
        </w:rPr>
        <w:t xml:space="preserve">Expeditorul este responsabil pentru parte în zona zona OTS-ului receptor. </w:t>
      </w:r>
    </w:p>
    <w:p w:rsidR="001A5F15" w:rsidRDefault="001A5F15" w:rsidP="001A5F15">
      <w:pPr>
        <w:pStyle w:val="ListParagraph"/>
        <w:ind w:left="720"/>
        <w:rPr>
          <w:rFonts w:asciiTheme="minorHAnsi" w:hAnsiTheme="minorHAnsi" w:cstheme="minorHAnsi"/>
        </w:rPr>
      </w:pPr>
      <w:r>
        <w:rPr>
          <w:rFonts w:asciiTheme="minorHAnsi" w:hAnsiTheme="minorHAnsi" w:cstheme="minorHAnsi"/>
          <w:lang w:val="ro"/>
        </w:rPr>
        <w:t>Orice eroare cu privire la aceste condiții duce către un ACK negativ.</w:t>
      </w:r>
    </w:p>
    <w:p w:rsidR="001A5F15" w:rsidRDefault="001A5F15" w:rsidP="001A5F15">
      <w:pPr>
        <w:pStyle w:val="ListParagraph"/>
        <w:numPr>
          <w:ilvl w:val="0"/>
          <w:numId w:val="15"/>
        </w:numPr>
        <w:rPr>
          <w:rFonts w:asciiTheme="minorHAnsi" w:hAnsiTheme="minorHAnsi" w:cstheme="minorHAnsi"/>
        </w:rPr>
      </w:pPr>
      <w:r>
        <w:rPr>
          <w:rFonts w:asciiTheme="minorHAnsi" w:hAnsiTheme="minorHAnsi" w:cstheme="minorHAnsi"/>
          <w:lang w:val="ro"/>
        </w:rPr>
        <w:t>O CAI sau un CCT al unei alocări este valabil dacă</w:t>
      </w:r>
    </w:p>
    <w:p w:rsidR="001A5F15" w:rsidRDefault="001A5F15" w:rsidP="001A5F15">
      <w:pPr>
        <w:pStyle w:val="ListParagraph"/>
        <w:numPr>
          <w:ilvl w:val="1"/>
          <w:numId w:val="15"/>
        </w:numPr>
        <w:rPr>
          <w:rFonts w:asciiTheme="minorHAnsi" w:hAnsiTheme="minorHAnsi" w:cstheme="minorHAnsi"/>
        </w:rPr>
      </w:pPr>
      <w:r>
        <w:rPr>
          <w:rFonts w:asciiTheme="minorHAnsi" w:hAnsiTheme="minorHAnsi" w:cstheme="minorHAnsi"/>
          <w:lang w:val="ro"/>
        </w:rPr>
        <w:t>combinația dintre CCT și CAI există în RD;</w:t>
      </w:r>
    </w:p>
    <w:p w:rsidR="001A5F15" w:rsidRDefault="001A5F15" w:rsidP="001A5F15">
      <w:pPr>
        <w:pStyle w:val="ListParagraph"/>
        <w:numPr>
          <w:ilvl w:val="1"/>
          <w:numId w:val="15"/>
        </w:numPr>
        <w:rPr>
          <w:rFonts w:asciiTheme="minorHAnsi" w:hAnsiTheme="minorHAnsi" w:cstheme="minorHAnsi"/>
        </w:rPr>
      </w:pPr>
      <w:r>
        <w:rPr>
          <w:rFonts w:asciiTheme="minorHAnsi" w:hAnsiTheme="minorHAnsi" w:cstheme="minorHAnsi"/>
          <w:lang w:val="ro"/>
        </w:rPr>
        <w:t>cel puțin un InParty sau OutParty din cadrul alocării este „RightsHolder” (titularul drepturilor) transmis în RD;</w:t>
      </w:r>
    </w:p>
    <w:p w:rsidR="001A5F15" w:rsidRDefault="001A5F15" w:rsidP="001A5F15">
      <w:pPr>
        <w:pStyle w:val="ListParagraph"/>
        <w:ind w:left="720"/>
        <w:rPr>
          <w:rFonts w:asciiTheme="minorHAnsi" w:hAnsiTheme="minorHAnsi" w:cstheme="minorHAnsi"/>
        </w:rPr>
      </w:pPr>
      <w:r>
        <w:rPr>
          <w:rFonts w:asciiTheme="minorHAnsi" w:hAnsiTheme="minorHAnsi" w:cstheme="minorHAnsi"/>
          <w:lang w:val="ro"/>
        </w:rPr>
        <w:lastRenderedPageBreak/>
        <w:t>Orice eroare cu privire la aceste condiții duce către un mesaj ANO sau ACK, în funcție de regulile pieței locale.</w:t>
      </w:r>
    </w:p>
    <w:p w:rsidR="00650852" w:rsidRDefault="00650852" w:rsidP="00650852">
      <w:pPr>
        <w:pStyle w:val="ListParagraph"/>
        <w:numPr>
          <w:ilvl w:val="0"/>
          <w:numId w:val="15"/>
        </w:numPr>
        <w:rPr>
          <w:rFonts w:asciiTheme="minorHAnsi" w:hAnsiTheme="minorHAnsi" w:cstheme="minorHAnsi"/>
        </w:rPr>
      </w:pPr>
      <w:r>
        <w:rPr>
          <w:rFonts w:asciiTheme="minorHAnsi" w:hAnsiTheme="minorHAnsi" w:cstheme="minorHAnsi"/>
          <w:lang w:val="ro"/>
        </w:rPr>
        <w:t>Regulile de bază pentru alocare și procesul de corelare al programului:</w:t>
      </w:r>
    </w:p>
    <w:p w:rsidR="00650852" w:rsidRDefault="00650852" w:rsidP="00650852">
      <w:pPr>
        <w:pStyle w:val="ListParagraph"/>
        <w:numPr>
          <w:ilvl w:val="1"/>
          <w:numId w:val="15"/>
        </w:numPr>
        <w:rPr>
          <w:rFonts w:asciiTheme="minorHAnsi" w:hAnsiTheme="minorHAnsi" w:cstheme="minorHAnsi"/>
        </w:rPr>
      </w:pPr>
      <w:r>
        <w:rPr>
          <w:rFonts w:asciiTheme="minorHAnsi" w:hAnsiTheme="minorHAnsi" w:cstheme="minorHAnsi"/>
          <w:lang w:val="ro"/>
        </w:rPr>
        <w:t>direcția alocărilor și direcția dreptului relevant de capacitate trebuie să coincidă;</w:t>
      </w:r>
    </w:p>
    <w:p w:rsidR="00650852" w:rsidRDefault="00650852" w:rsidP="00650852">
      <w:pPr>
        <w:pStyle w:val="ListParagraph"/>
        <w:numPr>
          <w:ilvl w:val="1"/>
          <w:numId w:val="15"/>
        </w:numPr>
        <w:rPr>
          <w:rFonts w:asciiTheme="minorHAnsi" w:hAnsiTheme="minorHAnsi" w:cstheme="minorHAnsi"/>
        </w:rPr>
      </w:pPr>
      <w:r>
        <w:rPr>
          <w:rFonts w:asciiTheme="minorHAnsi" w:hAnsiTheme="minorHAnsi" w:cstheme="minorHAnsi"/>
          <w:lang w:val="ro"/>
        </w:rPr>
        <w:t>totalul volumului din cadrul seriei de timp alocate utilizând aceeași CAI trebui să nu depășească volumul dreptului respectiv de capacitate</w:t>
      </w:r>
    </w:p>
    <w:p w:rsidR="00650852" w:rsidRDefault="00650852" w:rsidP="00A736A7">
      <w:pPr>
        <w:pStyle w:val="ListParagraph"/>
        <w:numPr>
          <w:ilvl w:val="0"/>
          <w:numId w:val="15"/>
        </w:numPr>
        <w:rPr>
          <w:rFonts w:asciiTheme="minorHAnsi" w:hAnsiTheme="minorHAnsi" w:cstheme="minorHAnsi"/>
        </w:rPr>
      </w:pPr>
      <w:r>
        <w:rPr>
          <w:rFonts w:asciiTheme="minorHAnsi" w:hAnsiTheme="minorHAnsi" w:cstheme="minorHAnsi"/>
          <w:lang w:val="ro"/>
        </w:rPr>
        <w:t>Atunci când un OTS primește un document cu un Schimb Programat, acesta îl verifică imediat în mod oficial. În cazul în care rezultatul verificării formale este în regulă, traderul primește un ACK pozitiv. În cazul erorilor formale, OTS-ul nu acceptă documentul.</w:t>
      </w:r>
    </w:p>
    <w:p w:rsidR="00650852" w:rsidRDefault="00650852" w:rsidP="00650852">
      <w:pPr>
        <w:pStyle w:val="ListParagraph"/>
        <w:numPr>
          <w:ilvl w:val="0"/>
          <w:numId w:val="15"/>
        </w:numPr>
        <w:rPr>
          <w:rFonts w:asciiTheme="minorHAnsi" w:hAnsiTheme="minorHAnsi" w:cstheme="minorHAnsi"/>
        </w:rPr>
      </w:pPr>
      <w:r>
        <w:rPr>
          <w:rFonts w:asciiTheme="minorHAnsi" w:hAnsiTheme="minorHAnsi" w:cstheme="minorHAnsi"/>
          <w:lang w:val="ro"/>
        </w:rPr>
        <w:t>Alocarea fără funcția RD depinde de regulile pieței locale.</w:t>
      </w:r>
    </w:p>
    <w:p w:rsidR="00650852" w:rsidRDefault="00650852" w:rsidP="00650852">
      <w:pPr>
        <w:pStyle w:val="ListParagraph"/>
        <w:numPr>
          <w:ilvl w:val="0"/>
          <w:numId w:val="15"/>
        </w:numPr>
        <w:rPr>
          <w:rFonts w:asciiTheme="minorHAnsi" w:hAnsiTheme="minorHAnsi" w:cstheme="minorHAnsi"/>
        </w:rPr>
      </w:pPr>
      <w:r>
        <w:rPr>
          <w:rFonts w:asciiTheme="minorHAnsi" w:hAnsiTheme="minorHAnsi" w:cstheme="minorHAnsi"/>
          <w:lang w:val="ro"/>
        </w:rPr>
        <w:t>În cazul în care validarea cu RD nu poate fi efectuată în timpul verificării formale ca urmare a indisponibilității RD, participantul la piață va fi informat prin intermediul unui ACK suplimentar. În cazul în care RD este disponibil OTS-ului la momentul recepționării alocării, traderul va fi informat de către OTS cu privire la orice drepturi de capacitate depășite prin intermediul unui ANO. În cazul în care RD este recepționat mai târziu sau o alocare din partea unui alt participant la piață duce către un excedent de drepturi de capacitate, traderul va fi informat prin intermediul unui ANO după ce indicația a fost depistată.</w:t>
      </w:r>
    </w:p>
    <w:p w:rsidR="00650852" w:rsidRDefault="00650852" w:rsidP="00650852">
      <w:pPr>
        <w:pStyle w:val="ListParagraph"/>
        <w:numPr>
          <w:ilvl w:val="0"/>
          <w:numId w:val="15"/>
        </w:numPr>
        <w:rPr>
          <w:rFonts w:asciiTheme="minorHAnsi" w:hAnsiTheme="minorHAnsi" w:cstheme="minorHAnsi"/>
        </w:rPr>
      </w:pPr>
      <w:r>
        <w:rPr>
          <w:rFonts w:asciiTheme="minorHAnsi" w:hAnsiTheme="minorHAnsi" w:cstheme="minorHAnsi"/>
          <w:lang w:val="ro"/>
        </w:rPr>
        <w:t>În cazul respingerii alocării vor fi transmise codurile și descrierile motivelor în cadrul ACK;</w:t>
      </w:r>
    </w:p>
    <w:p w:rsidR="00650852" w:rsidRDefault="00650852" w:rsidP="00650852">
      <w:pPr>
        <w:pStyle w:val="ListParagraph"/>
        <w:numPr>
          <w:ilvl w:val="0"/>
          <w:numId w:val="15"/>
        </w:numPr>
        <w:rPr>
          <w:rFonts w:asciiTheme="minorHAnsi" w:hAnsiTheme="minorHAnsi" w:cstheme="minorHAnsi"/>
        </w:rPr>
      </w:pPr>
      <w:r>
        <w:rPr>
          <w:rFonts w:asciiTheme="minorHAnsi" w:hAnsiTheme="minorHAnsi" w:cstheme="minorHAnsi"/>
          <w:lang w:val="ro"/>
        </w:rPr>
        <w:t>Pe lângă excedentul de drepturi de capacitate, ANO poate conține neconcordanțele depistate, în funcție de etapa procesului;</w:t>
      </w:r>
    </w:p>
    <w:p w:rsidR="00036746" w:rsidRPr="00D95DFD" w:rsidRDefault="00650852">
      <w:pPr>
        <w:pStyle w:val="ListParagraph"/>
        <w:numPr>
          <w:ilvl w:val="0"/>
          <w:numId w:val="15"/>
        </w:numPr>
        <w:rPr>
          <w:rFonts w:asciiTheme="minorHAnsi" w:hAnsiTheme="minorHAnsi" w:cstheme="minorHAnsi"/>
        </w:rPr>
      </w:pPr>
      <w:r>
        <w:rPr>
          <w:rFonts w:asciiTheme="minorHAnsi" w:hAnsiTheme="minorHAnsi" w:cstheme="minorHAnsi"/>
          <w:lang w:val="ro"/>
        </w:rPr>
        <w:t>Un ANO va conține întotdeauna valorile originale ale expeditorului și, dacă sunt disponibile, valorile originale ale partenerului;</w:t>
      </w:r>
    </w:p>
    <w:p w:rsidR="00EA7E41" w:rsidRDefault="00012647" w:rsidP="00012647">
      <w:pPr>
        <w:pStyle w:val="ListParagraph"/>
        <w:numPr>
          <w:ilvl w:val="0"/>
          <w:numId w:val="15"/>
        </w:numPr>
        <w:rPr>
          <w:rFonts w:asciiTheme="minorHAnsi" w:hAnsiTheme="minorHAnsi" w:cstheme="minorHAnsi"/>
        </w:rPr>
      </w:pPr>
      <w:r>
        <w:rPr>
          <w:rFonts w:asciiTheme="minorHAnsi" w:hAnsiTheme="minorHAnsi" w:cstheme="minorHAnsi"/>
          <w:lang w:val="ro"/>
        </w:rPr>
        <w:t>TRANSELECTRICA și MAVIR vor desfășura serviciile de transport în conformitate cu rezultatele licitațiilor respective și respectând cerințele legale cu privire la accesul la rețea în fiecare zonă de control, precum și regulile pieței aplicabile ale TRANSELECTRICA și MAVIR.</w:t>
      </w:r>
    </w:p>
    <w:p w:rsidR="00EA7E41" w:rsidRDefault="00012647" w:rsidP="00012647">
      <w:pPr>
        <w:pStyle w:val="ListParagraph"/>
        <w:numPr>
          <w:ilvl w:val="0"/>
          <w:numId w:val="15"/>
        </w:numPr>
        <w:rPr>
          <w:rFonts w:asciiTheme="minorHAnsi" w:hAnsiTheme="minorHAnsi" w:cstheme="minorHAnsi"/>
        </w:rPr>
      </w:pPr>
      <w:r>
        <w:rPr>
          <w:rFonts w:asciiTheme="minorHAnsi" w:hAnsiTheme="minorHAnsi" w:cstheme="minorHAnsi"/>
          <w:lang w:val="ro"/>
        </w:rPr>
        <w:t>TRANSELECTRICA și MAVIR își asumă să asigure faptul că capacitatea alocată este fezabilă din punct de vedere operațional pentru participantul la piață doar la nivel de graniță și / sau în condiții de rețea neplanificate.</w:t>
      </w:r>
    </w:p>
    <w:p w:rsidR="00BC5198" w:rsidRPr="00036746" w:rsidRDefault="001A5F15" w:rsidP="00601E12">
      <w:pPr>
        <w:pStyle w:val="ListParagraph"/>
        <w:numPr>
          <w:ilvl w:val="0"/>
          <w:numId w:val="15"/>
        </w:numPr>
        <w:rPr>
          <w:rFonts w:asciiTheme="minorHAnsi" w:hAnsiTheme="minorHAnsi" w:cstheme="minorHAnsi"/>
        </w:rPr>
      </w:pPr>
      <w:r>
        <w:rPr>
          <w:rFonts w:asciiTheme="minorHAnsi" w:hAnsiTheme="minorHAnsi" w:cstheme="minorHAnsi"/>
          <w:lang w:val="ro"/>
        </w:rPr>
        <w:t xml:space="preserve">Capacitatea alocată poate fi utilizată de către participantul la piață în cazul în care participantul la piață îndeplinește condițiile prealabile pentru utilizarea rețelei de transport transfrontalier la granița România-Ungaria. </w:t>
      </w:r>
    </w:p>
    <w:p w:rsidR="00BC5198" w:rsidRDefault="00BC5198" w:rsidP="00036746">
      <w:pPr>
        <w:pStyle w:val="ListParagraph"/>
        <w:numPr>
          <w:ilvl w:val="0"/>
          <w:numId w:val="15"/>
        </w:numPr>
        <w:rPr>
          <w:rFonts w:asciiTheme="minorHAnsi" w:hAnsiTheme="minorHAnsi" w:cstheme="minorHAnsi"/>
        </w:rPr>
      </w:pPr>
      <w:r>
        <w:rPr>
          <w:rFonts w:asciiTheme="minorHAnsi" w:hAnsiTheme="minorHAnsi" w:cstheme="minorHAnsi"/>
          <w:lang w:val="ro"/>
        </w:rPr>
        <w:t>Datele transmise cu privire la program din cadrul Schimbului Programat de energie electrică transfrontalieră conține datele care determină în mod inechivoc capacitatea alocată (CAI și CCT).</w:t>
      </w:r>
    </w:p>
    <w:p w:rsidR="00E94914" w:rsidRPr="00B9645F" w:rsidRDefault="00BF3BBE" w:rsidP="00B9645F">
      <w:pPr>
        <w:pStyle w:val="ListParagraph"/>
        <w:numPr>
          <w:ilvl w:val="0"/>
          <w:numId w:val="15"/>
        </w:numPr>
        <w:rPr>
          <w:rFonts w:asciiTheme="minorHAnsi" w:hAnsiTheme="minorHAnsi" w:cstheme="minorHAnsi"/>
        </w:rPr>
      </w:pPr>
      <w:r>
        <w:rPr>
          <w:rFonts w:asciiTheme="minorHAnsi" w:hAnsiTheme="minorHAnsi" w:cstheme="minorHAnsi"/>
          <w:lang w:val="ro"/>
        </w:rPr>
        <w:t>Dacă poarta de alocare se anulează ca urmare a defecțiunilor tehnice, capacitatea neutilizată este pusă la dispoziție pe piața pentru ziua următoare. Titularul DFT-urilor va primi o restituire pentru capacitatea nealocată prin intermediul principiului „utilizează sau vinde”.</w:t>
      </w:r>
    </w:p>
    <w:p w:rsidR="00A02334" w:rsidRPr="00B9645F" w:rsidRDefault="00A02334" w:rsidP="00B9645F">
      <w:pPr>
        <w:ind w:left="360"/>
        <w:rPr>
          <w:rFonts w:cstheme="minorHAnsi"/>
        </w:rPr>
      </w:pPr>
    </w:p>
    <w:p w:rsidR="003E1CEA" w:rsidRDefault="003E1CEA" w:rsidP="004D7677">
      <w:pPr>
        <w:rPr>
          <w:rFonts w:cstheme="minorHAnsi"/>
        </w:rPr>
      </w:pPr>
    </w:p>
    <w:p w:rsidR="00B9645F" w:rsidRDefault="00B9645F" w:rsidP="004D7677">
      <w:pPr>
        <w:rPr>
          <w:rFonts w:cstheme="minorHAnsi"/>
        </w:rPr>
      </w:pPr>
    </w:p>
    <w:p w:rsidR="00B9645F" w:rsidRPr="003E1CEA" w:rsidRDefault="00B9645F" w:rsidP="004D7677">
      <w:pPr>
        <w:rPr>
          <w:rFonts w:cstheme="minorHAnsi"/>
        </w:rPr>
      </w:pPr>
    </w:p>
    <w:p w:rsidR="0067038F" w:rsidRDefault="0067038F" w:rsidP="0067038F">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lastRenderedPageBreak/>
        <w:t>Articolul 7</w:t>
      </w:r>
      <w:r>
        <w:rPr>
          <w:rFonts w:cstheme="minorHAnsi"/>
          <w:color w:val="23236E" w:themeColor="text2"/>
          <w:sz w:val="24"/>
          <w:szCs w:val="24"/>
          <w:lang w:val="ro"/>
        </w:rPr>
        <w:br/>
      </w:r>
      <w:r>
        <w:rPr>
          <w:rFonts w:cstheme="minorHAnsi"/>
          <w:b/>
          <w:bCs/>
          <w:color w:val="23236E" w:themeColor="text2"/>
          <w:sz w:val="24"/>
          <w:szCs w:val="24"/>
          <w:lang w:val="ro"/>
        </w:rPr>
        <w:t xml:space="preserve">Programarea alocărilor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2551"/>
        <w:gridCol w:w="2552"/>
      </w:tblGrid>
      <w:tr w:rsidR="00032577" w:rsidRPr="00032577" w:rsidTr="00E94914">
        <w:trPr>
          <w:trHeight w:val="546"/>
        </w:trPr>
        <w:tc>
          <w:tcPr>
            <w:tcW w:w="3686" w:type="dxa"/>
            <w:shd w:val="clear" w:color="auto" w:fill="auto"/>
            <w:noWrap/>
            <w:vAlign w:val="center"/>
            <w:hideMark/>
          </w:tcPr>
          <w:p w:rsidR="00032577" w:rsidRPr="004D7677" w:rsidRDefault="00032577" w:rsidP="004D7677">
            <w:pPr>
              <w:spacing w:after="120" w:line="259" w:lineRule="auto"/>
              <w:contextualSpacing/>
              <w:jc w:val="right"/>
              <w:rPr>
                <w:rFonts w:cstheme="minorHAnsi"/>
              </w:rPr>
            </w:pPr>
            <w:r>
              <w:rPr>
                <w:rFonts w:cstheme="minorHAnsi"/>
                <w:lang w:val="ro"/>
              </w:rPr>
              <w:t>Procesul</w:t>
            </w:r>
          </w:p>
        </w:tc>
        <w:tc>
          <w:tcPr>
            <w:tcW w:w="2551" w:type="dxa"/>
            <w:shd w:val="clear" w:color="auto" w:fill="auto"/>
            <w:noWrap/>
            <w:vAlign w:val="center"/>
            <w:hideMark/>
          </w:tcPr>
          <w:p w:rsidR="00032577" w:rsidRDefault="00032577" w:rsidP="004D7677">
            <w:pPr>
              <w:spacing w:after="120" w:line="259" w:lineRule="auto"/>
              <w:contextualSpacing/>
              <w:jc w:val="center"/>
              <w:rPr>
                <w:rFonts w:cstheme="minorHAnsi"/>
              </w:rPr>
            </w:pPr>
            <w:r>
              <w:rPr>
                <w:rFonts w:cstheme="minorHAnsi"/>
                <w:lang w:val="ro"/>
              </w:rPr>
              <w:t xml:space="preserve">Începutul procesului </w:t>
            </w:r>
          </w:p>
          <w:p w:rsidR="00032577" w:rsidRPr="004D7677" w:rsidRDefault="00032577" w:rsidP="004D7677">
            <w:pPr>
              <w:spacing w:after="120" w:line="259" w:lineRule="auto"/>
              <w:contextualSpacing/>
              <w:jc w:val="center"/>
              <w:rPr>
                <w:rFonts w:cstheme="minorHAnsi"/>
              </w:rPr>
            </w:pPr>
            <w:r>
              <w:rPr>
                <w:rFonts w:cstheme="minorHAnsi"/>
                <w:lang w:val="ro"/>
              </w:rPr>
              <w:t>(CET)</w:t>
            </w:r>
          </w:p>
        </w:tc>
        <w:tc>
          <w:tcPr>
            <w:tcW w:w="2552" w:type="dxa"/>
            <w:shd w:val="clear" w:color="auto" w:fill="auto"/>
            <w:noWrap/>
            <w:vAlign w:val="center"/>
            <w:hideMark/>
          </w:tcPr>
          <w:p w:rsidR="00A02334" w:rsidRDefault="00032577" w:rsidP="004D7677">
            <w:pPr>
              <w:spacing w:after="120" w:line="259" w:lineRule="auto"/>
              <w:contextualSpacing/>
              <w:jc w:val="center"/>
              <w:rPr>
                <w:rFonts w:cstheme="minorHAnsi"/>
              </w:rPr>
            </w:pPr>
            <w:r>
              <w:rPr>
                <w:rFonts w:cstheme="minorHAnsi"/>
                <w:lang w:val="ro"/>
              </w:rPr>
              <w:t xml:space="preserve">Sfârșitul procesului </w:t>
            </w:r>
          </w:p>
          <w:p w:rsidR="00032577" w:rsidRPr="004D7677" w:rsidRDefault="00032577" w:rsidP="004D7677">
            <w:pPr>
              <w:spacing w:after="120" w:line="259" w:lineRule="auto"/>
              <w:contextualSpacing/>
              <w:jc w:val="center"/>
              <w:rPr>
                <w:rFonts w:cstheme="minorHAnsi"/>
              </w:rPr>
            </w:pPr>
            <w:r>
              <w:rPr>
                <w:rFonts w:cstheme="minorHAnsi"/>
                <w:lang w:val="ro"/>
              </w:rPr>
              <w:t>(CET)</w:t>
            </w:r>
          </w:p>
        </w:tc>
      </w:tr>
      <w:tr w:rsidR="00032577" w:rsidRPr="00032577" w:rsidTr="00E94914">
        <w:trPr>
          <w:trHeight w:val="546"/>
        </w:trPr>
        <w:tc>
          <w:tcPr>
            <w:tcW w:w="3686" w:type="dxa"/>
            <w:shd w:val="clear" w:color="auto" w:fill="auto"/>
            <w:noWrap/>
            <w:vAlign w:val="center"/>
            <w:hideMark/>
          </w:tcPr>
          <w:p w:rsidR="00032577" w:rsidRPr="004D7677" w:rsidRDefault="00032577" w:rsidP="004D7677">
            <w:pPr>
              <w:spacing w:after="120" w:line="259" w:lineRule="auto"/>
              <w:contextualSpacing/>
              <w:jc w:val="right"/>
              <w:rPr>
                <w:rFonts w:cstheme="minorHAnsi"/>
              </w:rPr>
            </w:pPr>
            <w:r>
              <w:rPr>
                <w:rFonts w:cstheme="minorHAnsi"/>
                <w:lang w:val="ro"/>
              </w:rPr>
              <w:t>Alocare pe termen lung</w:t>
            </w:r>
          </w:p>
        </w:tc>
        <w:tc>
          <w:tcPr>
            <w:tcW w:w="2551" w:type="dxa"/>
            <w:shd w:val="clear" w:color="auto" w:fill="auto"/>
            <w:vAlign w:val="center"/>
            <w:hideMark/>
          </w:tcPr>
          <w:p w:rsidR="00032577" w:rsidRPr="004D7677" w:rsidRDefault="00032577" w:rsidP="004D7677">
            <w:pPr>
              <w:spacing w:after="120" w:line="259" w:lineRule="auto"/>
              <w:contextualSpacing/>
              <w:jc w:val="center"/>
              <w:rPr>
                <w:rFonts w:cstheme="minorHAnsi"/>
              </w:rPr>
            </w:pPr>
            <w:r>
              <w:rPr>
                <w:rFonts w:cstheme="minorHAnsi"/>
                <w:lang w:val="ro"/>
              </w:rPr>
              <w:t>Z-2 12:00</w:t>
            </w:r>
          </w:p>
        </w:tc>
        <w:tc>
          <w:tcPr>
            <w:tcW w:w="2552" w:type="dxa"/>
            <w:shd w:val="clear" w:color="auto" w:fill="auto"/>
            <w:vAlign w:val="center"/>
            <w:hideMark/>
          </w:tcPr>
          <w:p w:rsidR="00032577" w:rsidRPr="004D7677" w:rsidRDefault="00F83547" w:rsidP="004D7677">
            <w:pPr>
              <w:spacing w:after="120" w:line="259" w:lineRule="auto"/>
              <w:contextualSpacing/>
              <w:jc w:val="center"/>
              <w:rPr>
                <w:rFonts w:cstheme="minorHAnsi"/>
              </w:rPr>
            </w:pPr>
            <w:r>
              <w:rPr>
                <w:rFonts w:cstheme="minorHAnsi"/>
                <w:lang w:val="ro"/>
              </w:rPr>
              <w:t>Z-1 08:00</w:t>
            </w:r>
          </w:p>
        </w:tc>
      </w:tr>
      <w:tr w:rsidR="00032577" w:rsidRPr="00032577" w:rsidTr="00E94914">
        <w:trPr>
          <w:trHeight w:val="546"/>
        </w:trPr>
        <w:tc>
          <w:tcPr>
            <w:tcW w:w="3686" w:type="dxa"/>
            <w:shd w:val="clear" w:color="auto" w:fill="auto"/>
            <w:noWrap/>
            <w:vAlign w:val="center"/>
            <w:hideMark/>
          </w:tcPr>
          <w:p w:rsidR="00032577" w:rsidRPr="004D7677" w:rsidRDefault="00032577" w:rsidP="004D7677">
            <w:pPr>
              <w:spacing w:after="120" w:line="259" w:lineRule="auto"/>
              <w:contextualSpacing/>
              <w:jc w:val="right"/>
              <w:rPr>
                <w:rFonts w:cstheme="minorHAnsi"/>
              </w:rPr>
            </w:pPr>
            <w:r>
              <w:rPr>
                <w:rFonts w:cstheme="minorHAnsi"/>
                <w:lang w:val="ro"/>
              </w:rPr>
              <w:t>Cicluri de corecție pentru alocările pe termen lung</w:t>
            </w:r>
          </w:p>
        </w:tc>
        <w:tc>
          <w:tcPr>
            <w:tcW w:w="2551" w:type="dxa"/>
            <w:shd w:val="clear" w:color="auto" w:fill="auto"/>
            <w:noWrap/>
            <w:vAlign w:val="center"/>
            <w:hideMark/>
          </w:tcPr>
          <w:p w:rsidR="00032577" w:rsidRPr="004D7677" w:rsidRDefault="00F83547" w:rsidP="004D7677">
            <w:pPr>
              <w:spacing w:after="120" w:line="259" w:lineRule="auto"/>
              <w:contextualSpacing/>
              <w:jc w:val="center"/>
              <w:rPr>
                <w:rFonts w:cstheme="minorHAnsi"/>
              </w:rPr>
            </w:pPr>
            <w:r>
              <w:rPr>
                <w:rFonts w:cstheme="minorHAnsi"/>
                <w:lang w:val="ro"/>
              </w:rPr>
              <w:t>Z-1 08:00</w:t>
            </w:r>
          </w:p>
        </w:tc>
        <w:tc>
          <w:tcPr>
            <w:tcW w:w="2552" w:type="dxa"/>
            <w:shd w:val="clear" w:color="auto" w:fill="auto"/>
            <w:noWrap/>
            <w:vAlign w:val="center"/>
            <w:hideMark/>
          </w:tcPr>
          <w:p w:rsidR="00032577" w:rsidRPr="004D7677" w:rsidRDefault="00F83547" w:rsidP="00036746">
            <w:pPr>
              <w:spacing w:after="120" w:line="259" w:lineRule="auto"/>
              <w:contextualSpacing/>
              <w:jc w:val="center"/>
              <w:rPr>
                <w:rFonts w:cstheme="minorHAnsi"/>
              </w:rPr>
            </w:pPr>
            <w:r>
              <w:rPr>
                <w:rFonts w:cstheme="minorHAnsi"/>
                <w:lang w:val="ro"/>
              </w:rPr>
              <w:t>Z-1 08:30</w:t>
            </w:r>
          </w:p>
        </w:tc>
      </w:tr>
      <w:tr w:rsidR="00032577" w:rsidRPr="00032577" w:rsidTr="00E94914">
        <w:trPr>
          <w:trHeight w:val="546"/>
        </w:trPr>
        <w:tc>
          <w:tcPr>
            <w:tcW w:w="3686" w:type="dxa"/>
            <w:shd w:val="clear" w:color="auto" w:fill="auto"/>
            <w:noWrap/>
            <w:vAlign w:val="center"/>
            <w:hideMark/>
          </w:tcPr>
          <w:p w:rsidR="00032577" w:rsidRPr="004D7677" w:rsidRDefault="00032577" w:rsidP="003C5035">
            <w:pPr>
              <w:spacing w:after="120" w:line="259" w:lineRule="auto"/>
              <w:contextualSpacing/>
              <w:jc w:val="right"/>
              <w:rPr>
                <w:rFonts w:cstheme="minorHAnsi"/>
              </w:rPr>
            </w:pPr>
            <w:r>
              <w:rPr>
                <w:rFonts w:cstheme="minorHAnsi"/>
                <w:lang w:val="ro"/>
              </w:rPr>
              <w:t>Ciclul de corelare pe termen lung la COT</w:t>
            </w:r>
          </w:p>
        </w:tc>
        <w:tc>
          <w:tcPr>
            <w:tcW w:w="2551" w:type="dxa"/>
            <w:shd w:val="clear" w:color="auto" w:fill="auto"/>
            <w:noWrap/>
            <w:vAlign w:val="center"/>
            <w:hideMark/>
          </w:tcPr>
          <w:p w:rsidR="00032577" w:rsidRPr="004D7677" w:rsidRDefault="00F83547" w:rsidP="004D7677">
            <w:pPr>
              <w:spacing w:after="120" w:line="259" w:lineRule="auto"/>
              <w:contextualSpacing/>
              <w:jc w:val="center"/>
              <w:rPr>
                <w:rFonts w:cstheme="minorHAnsi"/>
              </w:rPr>
            </w:pPr>
            <w:r>
              <w:rPr>
                <w:rFonts w:cstheme="minorHAnsi"/>
                <w:lang w:val="ro"/>
              </w:rPr>
              <w:t>Z-1 08:30</w:t>
            </w:r>
          </w:p>
        </w:tc>
        <w:tc>
          <w:tcPr>
            <w:tcW w:w="2552" w:type="dxa"/>
            <w:shd w:val="clear" w:color="auto" w:fill="auto"/>
            <w:vAlign w:val="center"/>
            <w:hideMark/>
          </w:tcPr>
          <w:p w:rsidR="00032577" w:rsidRPr="004D7677" w:rsidRDefault="00F83547" w:rsidP="004D7677">
            <w:pPr>
              <w:spacing w:after="120" w:line="259" w:lineRule="auto"/>
              <w:contextualSpacing/>
              <w:jc w:val="center"/>
              <w:rPr>
                <w:rFonts w:cstheme="minorHAnsi"/>
              </w:rPr>
            </w:pPr>
            <w:r>
              <w:rPr>
                <w:rFonts w:cstheme="minorHAnsi"/>
                <w:lang w:val="ro"/>
              </w:rPr>
              <w:t>Z-1 08:45</w:t>
            </w:r>
          </w:p>
        </w:tc>
      </w:tr>
    </w:tbl>
    <w:p w:rsidR="00475F7F" w:rsidRDefault="00475F7F" w:rsidP="007D1FFC">
      <w:pPr>
        <w:rPr>
          <w:highlight w:val="yellow"/>
        </w:rPr>
      </w:pPr>
    </w:p>
    <w:p w:rsidR="003C5035" w:rsidRDefault="003C5035" w:rsidP="00974992">
      <w:pPr>
        <w:pStyle w:val="ListParagraph"/>
        <w:numPr>
          <w:ilvl w:val="0"/>
          <w:numId w:val="21"/>
        </w:numPr>
        <w:rPr>
          <w:rFonts w:asciiTheme="minorHAnsi" w:hAnsiTheme="minorHAnsi" w:cstheme="minorHAnsi"/>
        </w:rPr>
      </w:pPr>
      <w:r>
        <w:rPr>
          <w:rFonts w:asciiTheme="minorHAnsi" w:hAnsiTheme="minorHAnsi" w:cstheme="minorHAnsi"/>
          <w:lang w:val="ro"/>
        </w:rPr>
        <w:t xml:space="preserve">În timpul ciclului de corecție, participanții la piață pot transmite alocări corectate. În această etapă a procesului pot fi realocate doar serii de timp neconcordante sau serii de timp cu drepturi de capacitate excedente. Seriile de timp deja corelate nu pot fi modificate. </w:t>
      </w:r>
    </w:p>
    <w:p w:rsidR="003C5035" w:rsidRDefault="003C5035" w:rsidP="00012647">
      <w:pPr>
        <w:pStyle w:val="ListParagraph"/>
        <w:numPr>
          <w:ilvl w:val="0"/>
          <w:numId w:val="21"/>
        </w:numPr>
        <w:rPr>
          <w:rFonts w:asciiTheme="minorHAnsi" w:hAnsiTheme="minorHAnsi" w:cstheme="minorHAnsi"/>
        </w:rPr>
      </w:pPr>
      <w:r>
        <w:rPr>
          <w:rFonts w:asciiTheme="minorHAnsi" w:hAnsiTheme="minorHAnsi" w:cstheme="minorHAnsi"/>
          <w:lang w:val="ro"/>
        </w:rPr>
        <w:t xml:space="preserve">Ciclul de corecție se sfârșește cu COT pe termen lung. În timpul ciclului de corecție se va porni un nou proces de corelare între OTS-uri, o dată la fiecare 15 minute până la COT. Drept rezultat al fiecărui proces de corelare, traderii vor fi informați cu privire la confirmarea și erorile Schimburilor Programate, prin intermediul unui raport CNF sau ANO. Un CNF prin care se confirmă alocările tuturor traderilor se transmite o singură dată. Transmiterea nu se repetă după procesele de corelare ulterioare în timpul ciclului de corecție. În funcție de regulile pieței locale, rezultatul procesului de corecție reprezintă un raport CNF intermediar sau final, transmis către participantul la piață. </w:t>
      </w:r>
    </w:p>
    <w:p w:rsidR="00A02334" w:rsidRPr="00E94914" w:rsidRDefault="003C5035" w:rsidP="00D97833">
      <w:pPr>
        <w:pStyle w:val="ListParagraph"/>
        <w:numPr>
          <w:ilvl w:val="0"/>
          <w:numId w:val="21"/>
        </w:numPr>
        <w:rPr>
          <w:rFonts w:asciiTheme="minorHAnsi" w:hAnsiTheme="minorHAnsi" w:cstheme="minorHAnsi"/>
        </w:rPr>
      </w:pPr>
      <w:r>
        <w:rPr>
          <w:rFonts w:asciiTheme="minorHAnsi" w:hAnsiTheme="minorHAnsi" w:cstheme="minorHAnsi"/>
          <w:lang w:val="ro"/>
        </w:rPr>
        <w:t>În cazul în care alocările nu se corelează la COT, acestea se modifică cu cele mai mici valori în ambele cazuri.</w:t>
      </w:r>
    </w:p>
    <w:p w:rsidR="00274C09" w:rsidRPr="00E94914" w:rsidRDefault="00A02334" w:rsidP="00A02334">
      <w:pPr>
        <w:pStyle w:val="ListParagraph"/>
        <w:numPr>
          <w:ilvl w:val="0"/>
          <w:numId w:val="21"/>
        </w:numPr>
        <w:rPr>
          <w:rFonts w:asciiTheme="minorHAnsi" w:hAnsiTheme="minorHAnsi" w:cstheme="minorHAnsi"/>
          <w:u w:val="single"/>
        </w:rPr>
      </w:pPr>
      <w:r>
        <w:rPr>
          <w:rFonts w:asciiTheme="minorHAnsi" w:hAnsiTheme="minorHAnsi" w:cstheme="minorHAnsi"/>
          <w:lang w:val="ro"/>
        </w:rPr>
        <w:t>Platforma de Alocare relevantă publică pe website-ul acesteia informațiile cu privire la termenul limită pentru alocarea pe termen lung. În cazul oricărei discrepanțe între termenul limită publicat de către Platforma de Alocare relevantă și prezenta Propunere pentru regulile de alocare valabilă și juridic obligatorie, aceasta din urmă prevalează iar Platforma de Alocare relevantă nu este răspunzătoare pentru nicio daună survenită ca urmare a unei astfel de discrepanțe.</w:t>
      </w:r>
    </w:p>
    <w:p w:rsidR="00264751" w:rsidRDefault="00264751" w:rsidP="00264751">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8</w:t>
      </w:r>
      <w:r>
        <w:rPr>
          <w:rFonts w:cstheme="minorHAnsi"/>
          <w:color w:val="23236E" w:themeColor="text2"/>
          <w:sz w:val="24"/>
          <w:szCs w:val="24"/>
          <w:lang w:val="ro"/>
        </w:rPr>
        <w:br/>
      </w:r>
      <w:r>
        <w:rPr>
          <w:rFonts w:cstheme="minorHAnsi"/>
          <w:b/>
          <w:bCs/>
          <w:color w:val="23236E" w:themeColor="text2"/>
          <w:sz w:val="24"/>
          <w:szCs w:val="24"/>
          <w:lang w:val="ro"/>
        </w:rPr>
        <w:t xml:space="preserve">Formatul notificării și al comunicării </w:t>
      </w:r>
    </w:p>
    <w:p w:rsidR="00693220" w:rsidRDefault="00693220" w:rsidP="004D7677">
      <w:pPr>
        <w:pStyle w:val="ListParagraph"/>
        <w:numPr>
          <w:ilvl w:val="0"/>
          <w:numId w:val="18"/>
        </w:numPr>
        <w:rPr>
          <w:rFonts w:asciiTheme="minorHAnsi" w:hAnsiTheme="minorHAnsi" w:cstheme="minorHAnsi"/>
        </w:rPr>
      </w:pPr>
      <w:r>
        <w:rPr>
          <w:rFonts w:asciiTheme="minorHAnsi" w:hAnsiTheme="minorHAnsi" w:cstheme="minorHAnsi"/>
          <w:lang w:val="ro"/>
        </w:rPr>
        <w:t>OTS-urile relevante stabilesc următoarele standarde de comunicare ce vor fi aplicate:</w:t>
      </w:r>
    </w:p>
    <w:p w:rsidR="00C23195" w:rsidRDefault="00C23195" w:rsidP="004D7677">
      <w:pPr>
        <w:pStyle w:val="ListParagraph"/>
        <w:numPr>
          <w:ilvl w:val="1"/>
          <w:numId w:val="18"/>
        </w:numPr>
        <w:rPr>
          <w:rFonts w:asciiTheme="minorHAnsi" w:hAnsiTheme="minorHAnsi" w:cstheme="minorHAnsi"/>
        </w:rPr>
      </w:pPr>
      <w:r>
        <w:rPr>
          <w:rFonts w:asciiTheme="minorHAnsi" w:hAnsiTheme="minorHAnsi" w:cstheme="minorHAnsi"/>
          <w:lang w:val="ro"/>
        </w:rPr>
        <w:t>ETSO ESS 2.3 / 3.3 sau superior;</w:t>
      </w:r>
    </w:p>
    <w:p w:rsidR="00C23195" w:rsidRDefault="00C23195" w:rsidP="004D7677">
      <w:pPr>
        <w:pStyle w:val="ListParagraph"/>
        <w:numPr>
          <w:ilvl w:val="1"/>
          <w:numId w:val="18"/>
        </w:numPr>
        <w:rPr>
          <w:rFonts w:asciiTheme="minorHAnsi" w:hAnsiTheme="minorHAnsi" w:cstheme="minorHAnsi"/>
        </w:rPr>
      </w:pPr>
      <w:r>
        <w:rPr>
          <w:rFonts w:asciiTheme="minorHAnsi" w:hAnsiTheme="minorHAnsi" w:cstheme="minorHAnsi"/>
          <w:lang w:val="ro"/>
        </w:rPr>
        <w:t>ETSO ECAN 4.0 sau superior;</w:t>
      </w:r>
    </w:p>
    <w:p w:rsidR="00C23195" w:rsidRPr="00C23195" w:rsidRDefault="00C23195" w:rsidP="004D7677">
      <w:pPr>
        <w:pStyle w:val="ListParagraph"/>
        <w:numPr>
          <w:ilvl w:val="1"/>
          <w:numId w:val="18"/>
        </w:numPr>
        <w:rPr>
          <w:rFonts w:asciiTheme="minorHAnsi" w:hAnsiTheme="minorHAnsi" w:cstheme="minorHAnsi"/>
        </w:rPr>
      </w:pPr>
      <w:r>
        <w:rPr>
          <w:rFonts w:asciiTheme="minorHAnsi" w:hAnsiTheme="minorHAnsi" w:cstheme="minorHAnsi"/>
          <w:lang w:val="ro"/>
        </w:rPr>
        <w:fldChar w:fldCharType="begin"/>
      </w:r>
      <w:r>
        <w:rPr>
          <w:rFonts w:asciiTheme="minorHAnsi" w:hAnsiTheme="minorHAnsi" w:cstheme="minorHAnsi"/>
          <w:lang w:val="ro"/>
        </w:rPr>
        <w:instrText xml:space="preserve"> REF _Ref223329725 \h  \* MERGEFORMAT </w:instrText>
      </w:r>
      <w:r>
        <w:rPr>
          <w:rFonts w:asciiTheme="minorHAnsi" w:hAnsiTheme="minorHAnsi" w:cstheme="minorHAnsi"/>
          <w:lang w:val="ro"/>
        </w:rPr>
      </w:r>
      <w:r>
        <w:rPr>
          <w:rFonts w:asciiTheme="minorHAnsi" w:hAnsiTheme="minorHAnsi" w:cstheme="minorHAnsi"/>
          <w:lang w:val="ro"/>
        </w:rPr>
        <w:fldChar w:fldCharType="separate"/>
      </w:r>
      <w:r>
        <w:rPr>
          <w:rFonts w:asciiTheme="minorHAnsi" w:hAnsiTheme="minorHAnsi" w:cstheme="minorHAnsi"/>
          <w:lang w:val="ro"/>
        </w:rPr>
        <w:t xml:space="preserve">ENTSO-E </w:t>
      </w:r>
      <w:r>
        <w:rPr>
          <w:rFonts w:asciiTheme="minorHAnsi" w:hAnsiTheme="minorHAnsi" w:cstheme="minorHAnsi"/>
          <w:lang w:val="ro"/>
        </w:rPr>
        <w:fldChar w:fldCharType="end"/>
      </w:r>
      <w:r>
        <w:rPr>
          <w:rFonts w:asciiTheme="minorHAnsi" w:hAnsiTheme="minorHAnsi" w:cstheme="minorHAnsi"/>
          <w:lang w:val="ro"/>
        </w:rPr>
        <w:t>Lista Generală a Codurilor pentru Schimbul de Date;</w:t>
      </w:r>
    </w:p>
    <w:p w:rsidR="00C23195" w:rsidRPr="00C23195" w:rsidRDefault="00C23195" w:rsidP="004D7677">
      <w:pPr>
        <w:pStyle w:val="ListParagraph"/>
        <w:numPr>
          <w:ilvl w:val="1"/>
          <w:numId w:val="18"/>
        </w:numPr>
        <w:rPr>
          <w:rFonts w:asciiTheme="minorHAnsi" w:hAnsiTheme="minorHAnsi" w:cstheme="minorHAnsi"/>
        </w:rPr>
      </w:pPr>
      <w:r>
        <w:rPr>
          <w:rFonts w:asciiTheme="minorHAnsi" w:hAnsiTheme="minorHAnsi" w:cstheme="minorHAnsi"/>
          <w:lang w:val="ro"/>
        </w:rPr>
        <w:fldChar w:fldCharType="begin"/>
      </w:r>
      <w:r>
        <w:rPr>
          <w:rFonts w:asciiTheme="minorHAnsi" w:hAnsiTheme="minorHAnsi" w:cstheme="minorHAnsi"/>
          <w:lang w:val="ro"/>
        </w:rPr>
        <w:instrText xml:space="preserve"> REF _Ref229459060 \h  \* MERGEFORMAT </w:instrText>
      </w:r>
      <w:r>
        <w:rPr>
          <w:rFonts w:asciiTheme="minorHAnsi" w:hAnsiTheme="minorHAnsi" w:cstheme="minorHAnsi"/>
          <w:lang w:val="ro"/>
        </w:rPr>
      </w:r>
      <w:r>
        <w:rPr>
          <w:rFonts w:asciiTheme="minorHAnsi" w:hAnsiTheme="minorHAnsi" w:cstheme="minorHAnsi"/>
          <w:lang w:val="ro"/>
        </w:rPr>
        <w:fldChar w:fldCharType="separate"/>
      </w:r>
      <w:r>
        <w:rPr>
          <w:rFonts w:asciiTheme="minorHAnsi" w:hAnsiTheme="minorHAnsi" w:cstheme="minorHAnsi"/>
          <w:lang w:val="ro"/>
        </w:rPr>
        <w:t>Documentul de confirmare a primirii</w:t>
      </w:r>
      <w:r>
        <w:rPr>
          <w:rFonts w:asciiTheme="minorHAnsi" w:hAnsiTheme="minorHAnsi" w:cstheme="minorHAnsi"/>
          <w:lang w:val="ro"/>
        </w:rPr>
        <w:fldChar w:fldCharType="end"/>
      </w:r>
      <w:r>
        <w:rPr>
          <w:rFonts w:asciiTheme="minorHAnsi" w:hAnsiTheme="minorHAnsi" w:cstheme="minorHAnsi"/>
          <w:lang w:val="ro"/>
        </w:rPr>
        <w:t xml:space="preserve"> ENTSO-E (EAD) 5.0 sau superior;</w:t>
      </w:r>
    </w:p>
    <w:p w:rsidR="00C23195" w:rsidRPr="00C23195" w:rsidRDefault="00C23195" w:rsidP="004D7677">
      <w:pPr>
        <w:pStyle w:val="ListParagraph"/>
        <w:numPr>
          <w:ilvl w:val="1"/>
          <w:numId w:val="18"/>
        </w:numPr>
        <w:rPr>
          <w:rFonts w:asciiTheme="minorHAnsi" w:hAnsiTheme="minorHAnsi" w:cstheme="minorHAnsi"/>
        </w:rPr>
      </w:pPr>
      <w:r>
        <w:rPr>
          <w:rFonts w:asciiTheme="minorHAnsi" w:hAnsiTheme="minorHAnsi" w:cstheme="minorHAnsi"/>
          <w:lang w:val="ro"/>
        </w:rPr>
        <w:t>Manualul de Referință ENTSO-E 5.0 sau superior;</w:t>
      </w:r>
    </w:p>
    <w:p w:rsidR="003234A6" w:rsidRDefault="003234A6" w:rsidP="00B9645F">
      <w:pPr>
        <w:pStyle w:val="ListParagraph"/>
        <w:numPr>
          <w:ilvl w:val="0"/>
          <w:numId w:val="18"/>
        </w:numPr>
        <w:rPr>
          <w:rFonts w:asciiTheme="minorHAnsi" w:hAnsiTheme="minorHAnsi" w:cstheme="minorHAnsi"/>
        </w:rPr>
      </w:pPr>
      <w:r>
        <w:rPr>
          <w:rFonts w:asciiTheme="minorHAnsi" w:hAnsiTheme="minorHAnsi" w:cstheme="minorHAnsi"/>
          <w:lang w:val="ro"/>
        </w:rPr>
        <w:t>Regulile generale pentru formatul alocărilor sunt definite prin regulile pieței locale, însă conținutul elementelor utilizate și utilizarea anumitor elemente de alocare la granițele zonelor de ofertare între OTS-urile implicate pot diferi:</w:t>
      </w:r>
    </w:p>
    <w:p w:rsidR="003234A6" w:rsidRDefault="003234A6" w:rsidP="00FD14F1">
      <w:pPr>
        <w:pStyle w:val="ListParagraph"/>
        <w:numPr>
          <w:ilvl w:val="1"/>
          <w:numId w:val="21"/>
        </w:numPr>
        <w:rPr>
          <w:rFonts w:asciiTheme="minorHAnsi" w:hAnsiTheme="minorHAnsi" w:cstheme="minorHAnsi"/>
        </w:rPr>
      </w:pPr>
      <w:r>
        <w:rPr>
          <w:rFonts w:asciiTheme="minorHAnsi" w:hAnsiTheme="minorHAnsi" w:cstheme="minorHAnsi"/>
          <w:lang w:val="ro"/>
        </w:rPr>
        <w:t>InParty / OutParty: Pe lângă propriul EIC, în cadrul unei relații sources-ink se utilizează și EIC al traderului partener;</w:t>
      </w:r>
    </w:p>
    <w:p w:rsidR="003234A6" w:rsidRDefault="003234A6" w:rsidP="00FD14F1">
      <w:pPr>
        <w:pStyle w:val="ListParagraph"/>
        <w:numPr>
          <w:ilvl w:val="1"/>
          <w:numId w:val="21"/>
        </w:numPr>
        <w:rPr>
          <w:rFonts w:asciiTheme="minorHAnsi" w:hAnsiTheme="minorHAnsi" w:cstheme="minorHAnsi"/>
        </w:rPr>
      </w:pPr>
      <w:r>
        <w:rPr>
          <w:rFonts w:asciiTheme="minorHAnsi" w:hAnsiTheme="minorHAnsi" w:cstheme="minorHAnsi"/>
          <w:lang w:val="ro"/>
        </w:rPr>
        <w:lastRenderedPageBreak/>
        <w:t>BT: Utilizarea „A03” este obligatorie;</w:t>
      </w:r>
    </w:p>
    <w:p w:rsidR="003234A6" w:rsidRPr="00FD14F1" w:rsidRDefault="003234A6" w:rsidP="00FD14F1">
      <w:pPr>
        <w:pStyle w:val="ListParagraph"/>
        <w:numPr>
          <w:ilvl w:val="1"/>
          <w:numId w:val="21"/>
        </w:numPr>
        <w:rPr>
          <w:rFonts w:asciiTheme="minorHAnsi" w:hAnsiTheme="minorHAnsi" w:cstheme="minorHAnsi"/>
        </w:rPr>
      </w:pPr>
      <w:r>
        <w:rPr>
          <w:rFonts w:asciiTheme="minorHAnsi" w:hAnsiTheme="minorHAnsi" w:cstheme="minorHAnsi"/>
          <w:lang w:val="ro"/>
        </w:rPr>
        <w:t>CAI: furnizată de către oficiul de alocare relevant în cadrul Documentului cu privire la Drepturi;</w:t>
      </w:r>
    </w:p>
    <w:p w:rsidR="003234A6" w:rsidRDefault="00601F26" w:rsidP="00FD14F1">
      <w:pPr>
        <w:pStyle w:val="ListParagraph"/>
        <w:numPr>
          <w:ilvl w:val="1"/>
          <w:numId w:val="21"/>
        </w:numPr>
        <w:rPr>
          <w:rFonts w:asciiTheme="minorHAnsi" w:hAnsiTheme="minorHAnsi" w:cstheme="minorHAnsi"/>
        </w:rPr>
      </w:pPr>
      <w:r>
        <w:rPr>
          <w:rFonts w:asciiTheme="minorHAnsi" w:hAnsiTheme="minorHAnsi" w:cstheme="minorHAnsi"/>
          <w:lang w:val="ro"/>
        </w:rPr>
        <w:t>CCT: în conformitate cu regulile de alocare, în funcție de tipul licitației;</w:t>
      </w:r>
    </w:p>
    <w:p w:rsidR="003234A6" w:rsidRPr="00C23195" w:rsidRDefault="003234A6" w:rsidP="00FD14F1">
      <w:pPr>
        <w:pStyle w:val="ListParagraph"/>
        <w:numPr>
          <w:ilvl w:val="1"/>
          <w:numId w:val="21"/>
        </w:numPr>
      </w:pPr>
      <w:r>
        <w:rPr>
          <w:rFonts w:asciiTheme="minorHAnsi" w:hAnsiTheme="minorHAnsi" w:cstheme="minorHAnsi"/>
          <w:lang w:val="ro"/>
        </w:rPr>
        <w:t>Regulile pieței locale pot solicita rezoluții de 15 Minute pentru alocări. În acest caz, participanții la piață au obligația de a transmite 4 valori egale pentru fiecare sfert din cadrul unei ore iar OTS-urile au obligația de a verifica existența a 4 valori egale pentru fiecare sfert din cadrul aceleiași ore. Încălcarea acestei condiții duce către respingerea alocării.</w:t>
      </w:r>
    </w:p>
    <w:p w:rsidR="007C2116" w:rsidRDefault="003234A6">
      <w:pPr>
        <w:rPr>
          <w:rFonts w:cstheme="minorHAnsi"/>
          <w:b/>
          <w:color w:val="23236E" w:themeColor="text2"/>
          <w:sz w:val="24"/>
          <w:szCs w:val="28"/>
        </w:rPr>
      </w:pPr>
      <w:r>
        <w:rPr>
          <w:highlight w:val="yellow"/>
          <w:lang w:val="ro"/>
        </w:rPr>
        <w:t xml:space="preserve"> </w:t>
      </w:r>
      <w:r>
        <w:rPr>
          <w:b/>
          <w:bCs/>
          <w:color w:val="23236E" w:themeColor="text2"/>
          <w:sz w:val="24"/>
          <w:szCs w:val="28"/>
          <w:lang w:val="ro"/>
        </w:rPr>
        <w:br w:type="page"/>
      </w:r>
    </w:p>
    <w:p w:rsidR="007D1FFC" w:rsidRPr="00D16C65" w:rsidRDefault="007D1FFC" w:rsidP="007D1FFC">
      <w:pPr>
        <w:spacing w:before="400" w:after="120" w:line="340" w:lineRule="exact"/>
        <w:jc w:val="center"/>
        <w:outlineLvl w:val="0"/>
        <w:rPr>
          <w:rFonts w:cstheme="minorHAnsi"/>
          <w:b/>
          <w:color w:val="23236E" w:themeColor="text2"/>
          <w:sz w:val="24"/>
          <w:szCs w:val="28"/>
        </w:rPr>
      </w:pPr>
      <w:r>
        <w:rPr>
          <w:b/>
          <w:bCs/>
          <w:color w:val="23236E" w:themeColor="text2"/>
          <w:sz w:val="24"/>
          <w:szCs w:val="28"/>
          <w:lang w:val="ro"/>
        </w:rPr>
        <w:lastRenderedPageBreak/>
        <w:t>TITLUL 3</w:t>
      </w:r>
      <w:r>
        <w:rPr>
          <w:color w:val="23236E" w:themeColor="text2"/>
          <w:sz w:val="24"/>
          <w:szCs w:val="28"/>
          <w:lang w:val="ro"/>
        </w:rPr>
        <w:t xml:space="preserve"> </w:t>
      </w:r>
      <w:r>
        <w:rPr>
          <w:color w:val="23236E" w:themeColor="text2"/>
          <w:sz w:val="24"/>
          <w:szCs w:val="28"/>
          <w:lang w:val="ro"/>
        </w:rPr>
        <w:br/>
      </w:r>
      <w:r>
        <w:rPr>
          <w:rFonts w:ascii="Times New Roman" w:hAnsi="Times New Roman"/>
          <w:b/>
          <w:bCs/>
          <w:color w:val="23236E" w:themeColor="text2"/>
          <w:sz w:val="24"/>
          <w:szCs w:val="28"/>
          <w:lang w:val="ro"/>
        </w:rPr>
        <w:t>Diverse</w:t>
      </w:r>
    </w:p>
    <w:p w:rsidR="00E85082" w:rsidRPr="00E85082" w:rsidRDefault="00E85082" w:rsidP="007D1FFC"/>
    <w:p w:rsidR="007D1FFC" w:rsidRDefault="007D1FFC" w:rsidP="007D1FFC">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9</w:t>
      </w:r>
      <w:r>
        <w:rPr>
          <w:rFonts w:cstheme="minorHAnsi"/>
          <w:color w:val="23236E" w:themeColor="text2"/>
          <w:sz w:val="24"/>
          <w:szCs w:val="24"/>
          <w:lang w:val="ro"/>
        </w:rPr>
        <w:br/>
      </w:r>
      <w:r>
        <w:rPr>
          <w:rFonts w:cstheme="minorHAnsi"/>
          <w:b/>
          <w:bCs/>
          <w:color w:val="23236E" w:themeColor="text2"/>
          <w:sz w:val="24"/>
          <w:szCs w:val="24"/>
          <w:lang w:val="ro"/>
        </w:rPr>
        <w:t xml:space="preserve">Modificarea regulilor de alocare </w:t>
      </w:r>
    </w:p>
    <w:p w:rsidR="00304536" w:rsidRDefault="00304536" w:rsidP="00D95DFD">
      <w:pPr>
        <w:jc w:val="both"/>
      </w:pPr>
      <w:r>
        <w:rPr>
          <w:lang w:val="ro"/>
        </w:rPr>
        <w:t>Orice modificare a regulilor cu privire la alocarea Drepturilor Fizice de Transport la granițele zonelor de ofertare Ungaria și România atrage după sine modificarea prezentei propuneri pentru regulile de alocare.</w:t>
      </w:r>
    </w:p>
    <w:p w:rsidR="00304536" w:rsidRDefault="001D762E" w:rsidP="007D1FFC">
      <w:r>
        <w:rPr>
          <w:lang w:val="ro"/>
        </w:rPr>
        <w:t xml:space="preserve"> </w:t>
      </w:r>
    </w:p>
    <w:p w:rsidR="007D1FFC" w:rsidRDefault="007D1FFC" w:rsidP="007D1FFC">
      <w:pPr>
        <w:spacing w:after="120" w:line="260" w:lineRule="exact"/>
        <w:jc w:val="center"/>
        <w:outlineLvl w:val="1"/>
        <w:rPr>
          <w:rFonts w:cstheme="minorHAnsi"/>
          <w:b/>
          <w:color w:val="23236E" w:themeColor="text2"/>
          <w:sz w:val="24"/>
          <w:szCs w:val="24"/>
        </w:rPr>
      </w:pPr>
      <w:r>
        <w:rPr>
          <w:rFonts w:cstheme="minorHAnsi"/>
          <w:b/>
          <w:bCs/>
          <w:color w:val="23236E" w:themeColor="text2"/>
          <w:sz w:val="24"/>
          <w:szCs w:val="24"/>
          <w:lang w:val="ro"/>
        </w:rPr>
        <w:t>Articolul 10</w:t>
      </w:r>
      <w:r>
        <w:rPr>
          <w:rFonts w:cstheme="minorHAnsi"/>
          <w:color w:val="23236E" w:themeColor="text2"/>
          <w:sz w:val="24"/>
          <w:szCs w:val="24"/>
          <w:lang w:val="ro"/>
        </w:rPr>
        <w:br/>
      </w:r>
      <w:r>
        <w:rPr>
          <w:rFonts w:cstheme="minorHAnsi"/>
          <w:b/>
          <w:bCs/>
          <w:color w:val="23236E" w:themeColor="text2"/>
          <w:sz w:val="24"/>
          <w:szCs w:val="24"/>
          <w:lang w:val="ro"/>
        </w:rPr>
        <w:t>Limba</w:t>
      </w:r>
    </w:p>
    <w:p w:rsidR="007D1FFC" w:rsidRPr="007D1FFC" w:rsidRDefault="007D1FFC" w:rsidP="00E20B31">
      <w:pPr>
        <w:jc w:val="both"/>
        <w:rPr>
          <w:highlight w:val="yellow"/>
        </w:rPr>
      </w:pPr>
      <w:r>
        <w:rPr>
          <w:lang w:val="ro"/>
        </w:rPr>
        <w:t>Limba de referință pentru prezenta Propunere este limba engleză. Pentru a evita orice interpretare, în cazul în care OTS-urile au nevoie să traducă prezenta Propunere în limba / limbile lor naționale, în eventualitatea unor neconcordanțe între versiunea în limba engleză publicată de către OTS, conform articolului 4(13) din Regulamentul FCA, și orice versiune în altă limbă, OTS-urile relevante furnizează ANR-urilor relevante, în conformitate cu legislația națională, o traducere actualizată a Propunerii pentru regulile de alocare.</w:t>
      </w:r>
    </w:p>
    <w:p w:rsidR="007D1FFC" w:rsidRDefault="007D1FFC" w:rsidP="007D1FFC"/>
    <w:p w:rsidR="00EC38E2" w:rsidRDefault="00EC38E2" w:rsidP="007D1FFC">
      <w:pPr>
        <w:spacing w:after="120" w:line="259" w:lineRule="auto"/>
        <w:contextualSpacing/>
      </w:pPr>
    </w:p>
    <w:p w:rsidR="007D1FFC" w:rsidRPr="003953B9" w:rsidRDefault="007D1FFC" w:rsidP="007D1FFC">
      <w:pPr>
        <w:spacing w:after="120" w:line="259" w:lineRule="auto"/>
        <w:contextualSpacing/>
        <w:rPr>
          <w:rFonts w:ascii="Times New Roman" w:hAnsi="Times New Roman" w:cstheme="majorHAnsi"/>
          <w:b/>
          <w:color w:val="23236E" w:themeColor="text2"/>
          <w:sz w:val="24"/>
          <w:szCs w:val="28"/>
        </w:rPr>
      </w:pPr>
    </w:p>
    <w:sectPr w:rsidR="007D1FFC" w:rsidRPr="003953B9" w:rsidSect="002F423B">
      <w:headerReference w:type="default" r:id="rId12"/>
      <w:footerReference w:type="default" r:id="rId13"/>
      <w:footerReference w:type="first" r:id="rId14"/>
      <w:pgSz w:w="11906" w:h="16838"/>
      <w:pgMar w:top="1928" w:right="1021" w:bottom="1701" w:left="136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CA" w:rsidRDefault="003053CA" w:rsidP="00B04144">
      <w:r>
        <w:separator/>
      </w:r>
    </w:p>
  </w:endnote>
  <w:endnote w:type="continuationSeparator" w:id="0">
    <w:p w:rsidR="003053CA" w:rsidRDefault="003053CA" w:rsidP="00B04144">
      <w:r>
        <w:continuationSeparator/>
      </w:r>
    </w:p>
  </w:endnote>
  <w:endnote w:type="continuationNotice" w:id="1">
    <w:p w:rsidR="003053CA" w:rsidRDefault="00305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A934F6" w:rsidRPr="00163012" w:rsidTr="003D0965">
      <w:trPr>
        <w:trHeight w:hRule="exact" w:val="284"/>
      </w:trPr>
      <w:tc>
        <w:tcPr>
          <w:tcW w:w="9923" w:type="dxa"/>
          <w:vAlign w:val="center"/>
        </w:tcPr>
        <w:p w:rsidR="00A934F6" w:rsidRPr="003D0965" w:rsidRDefault="00A934F6" w:rsidP="00CD009F">
          <w:pPr>
            <w:pStyle w:val="Footer"/>
            <w:rPr>
              <w:rFonts w:asciiTheme="majorHAnsi" w:hAnsiTheme="majorHAnsi" w:cstheme="majorHAnsi"/>
              <w:sz w:val="14"/>
              <w:szCs w:val="14"/>
            </w:rPr>
          </w:pPr>
        </w:p>
      </w:tc>
    </w:tr>
  </w:tbl>
  <w:tbl>
    <w:tblPr>
      <w:tblStyle w:val="TableGrid"/>
      <w:tblpPr w:leftFromText="142" w:rightFromText="142" w:vertAnchor="page" w:horzAnchor="page" w:tblpX="10661" w:tblpY="157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4"/>
    </w:tblGrid>
    <w:tr w:rsidR="00A934F6" w:rsidTr="003D0965">
      <w:trPr>
        <w:trHeight w:hRule="exact" w:val="284"/>
      </w:trPr>
      <w:tc>
        <w:tcPr>
          <w:tcW w:w="624" w:type="dxa"/>
        </w:tcPr>
        <w:p w:rsidR="00A934F6" w:rsidRDefault="00A934F6" w:rsidP="00F80655">
          <w:pPr>
            <w:pStyle w:val="Footer"/>
            <w:jc w:val="right"/>
          </w:pPr>
          <w:r>
            <w:rPr>
              <w:lang w:val="ro"/>
            </w:rPr>
            <w:fldChar w:fldCharType="begin"/>
          </w:r>
          <w:r>
            <w:rPr>
              <w:lang w:val="ro"/>
            </w:rPr>
            <w:instrText xml:space="preserve"> PAGE   \* MERGEFORMAT </w:instrText>
          </w:r>
          <w:r>
            <w:rPr>
              <w:lang w:val="ro"/>
            </w:rPr>
            <w:fldChar w:fldCharType="separate"/>
          </w:r>
          <w:r w:rsidR="00C86959">
            <w:rPr>
              <w:noProof/>
              <w:lang w:val="ro"/>
            </w:rPr>
            <w:t>2</w:t>
          </w:r>
          <w:r>
            <w:rPr>
              <w:noProof/>
              <w:lang w:val="ro"/>
            </w:rPr>
            <w:fldChar w:fldCharType="end"/>
          </w:r>
        </w:p>
      </w:tc>
    </w:tr>
  </w:tbl>
  <w:p w:rsidR="00A934F6" w:rsidRPr="003D0965" w:rsidRDefault="00A934F6" w:rsidP="003D09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A934F6" w:rsidRPr="00163012" w:rsidTr="003D0965">
      <w:trPr>
        <w:trHeight w:hRule="exact" w:val="284"/>
      </w:trPr>
      <w:tc>
        <w:tcPr>
          <w:tcW w:w="9923" w:type="dxa"/>
          <w:vAlign w:val="center"/>
        </w:tcPr>
        <w:p w:rsidR="00A934F6" w:rsidRPr="00CB14AB" w:rsidRDefault="00A934F6" w:rsidP="003D0965">
          <w:pPr>
            <w:pStyle w:val="Footer"/>
            <w:rPr>
              <w:rFonts w:asciiTheme="majorHAnsi" w:hAnsiTheme="majorHAnsi" w:cstheme="majorHAnsi"/>
              <w:sz w:val="14"/>
              <w:szCs w:val="14"/>
            </w:rPr>
          </w:pPr>
        </w:p>
      </w:tc>
    </w:tr>
  </w:tbl>
  <w:p w:rsidR="00A934F6" w:rsidRDefault="00A934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CA" w:rsidRDefault="003053CA" w:rsidP="00B04144">
      <w:r>
        <w:separator/>
      </w:r>
    </w:p>
  </w:footnote>
  <w:footnote w:type="continuationSeparator" w:id="0">
    <w:p w:rsidR="003053CA" w:rsidRDefault="003053CA" w:rsidP="00B04144">
      <w:r>
        <w:continuationSeparator/>
      </w:r>
    </w:p>
  </w:footnote>
  <w:footnote w:type="continuationNotice" w:id="1">
    <w:p w:rsidR="003053CA" w:rsidRDefault="003053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12"/>
    </w:tblGrid>
    <w:tr w:rsidR="00A934F6" w:rsidRPr="00696EBB" w:rsidTr="007C7052">
      <w:trPr>
        <w:trHeight w:hRule="exact" w:val="915"/>
      </w:trPr>
      <w:tc>
        <w:tcPr>
          <w:tcW w:w="6612" w:type="dxa"/>
        </w:tcPr>
        <w:p w:rsidR="00A934F6" w:rsidRPr="005A0220" w:rsidRDefault="00A934F6" w:rsidP="002F423B">
          <w:pPr>
            <w:rPr>
              <w:sz w:val="20"/>
              <w:szCs w:val="20"/>
            </w:rPr>
          </w:pPr>
          <w:r>
            <w:rPr>
              <w:sz w:val="20"/>
              <w:szCs w:val="20"/>
              <w:lang w:val="ro"/>
            </w:rPr>
            <w:t xml:space="preserve">Propunerea pentru regulile de alocare a drepturilor fizice de transport pentru granițele zonelor de ofertare Ungaria și România în conformitate cu articolul 36 din Regulamentul (UE) 2016/1719 al Comisiei din 26 septembrie 2016 de stabilire a unei orientări privind alocarea capacităților pe piața pe termen lung </w:t>
          </w:r>
        </w:p>
      </w:tc>
    </w:tr>
  </w:tbl>
  <w:p w:rsidR="00A934F6" w:rsidRDefault="00C86959" w:rsidP="003D0965">
    <w:pPr>
      <w:pStyle w:val="Footer"/>
    </w:pPr>
    <w:r>
      <w:rPr>
        <w:noProof/>
        <w:lang w:eastAsia="en-GB"/>
      </w:rPr>
      <mc:AlternateContent>
        <mc:Choice Requires="wps">
          <w:drawing>
            <wp:anchor distT="4294967295" distB="4294967295" distL="114300" distR="114300" simplePos="0" relativeHeight="251658240" behindDoc="0" locked="1" layoutInCell="1" allowOverlap="1">
              <wp:simplePos x="0" y="0"/>
              <wp:positionH relativeFrom="page">
                <wp:posOffset>864235</wp:posOffset>
              </wp:positionH>
              <wp:positionV relativeFrom="page">
                <wp:posOffset>1062354</wp:posOffset>
              </wp:positionV>
              <wp:extent cx="6047740" cy="0"/>
              <wp:effectExtent l="0" t="0" r="2921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097FC" id="_x0000_t32" coordsize="21600,21600" o:spt="32" o:oned="t" path="m,l21600,21600e" filled="f">
              <v:path arrowok="t" fillok="f" o:connecttype="none"/>
              <o:lock v:ext="edit" shapetype="t"/>
            </v:shapetype>
            <v:shape id="AutoShape 8" o:spid="_x0000_s1026" type="#_x0000_t32" style="position:absolute;margin-left:68.05pt;margin-top:83.65pt;width:476.2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" strokecolor="#23236e [3215]" strokeweight="1p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08A"/>
    <w:multiLevelType w:val="hybridMultilevel"/>
    <w:tmpl w:val="128038D2"/>
    <w:lvl w:ilvl="0" w:tplc="0409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141272"/>
    <w:multiLevelType w:val="hybridMultilevel"/>
    <w:tmpl w:val="91143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A6098"/>
    <w:multiLevelType w:val="hybridMultilevel"/>
    <w:tmpl w:val="3AAE839C"/>
    <w:lvl w:ilvl="0" w:tplc="CB481F1E">
      <w:start w:val="1"/>
      <w:numFmt w:val="decimal"/>
      <w:lvlText w:val="(%1)"/>
      <w:lvlJc w:val="left"/>
      <w:pPr>
        <w:ind w:left="720" w:hanging="360"/>
      </w:pPr>
      <w:rPr>
        <w:rFonts w:hint="default"/>
        <w:b w:val="0"/>
      </w:rPr>
    </w:lvl>
    <w:lvl w:ilvl="1" w:tplc="6DEEA86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2608A"/>
    <w:multiLevelType w:val="hybridMultilevel"/>
    <w:tmpl w:val="1C3EC484"/>
    <w:lvl w:ilvl="0" w:tplc="040E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7914955"/>
    <w:multiLevelType w:val="multilevel"/>
    <w:tmpl w:val="F9688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1B3E4F"/>
    <w:multiLevelType w:val="hybridMultilevel"/>
    <w:tmpl w:val="7598DD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633AF2"/>
    <w:multiLevelType w:val="hybridMultilevel"/>
    <w:tmpl w:val="1AE6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8" w15:restartNumberingAfterBreak="0">
    <w:nsid w:val="2FDB1220"/>
    <w:multiLevelType w:val="hybridMultilevel"/>
    <w:tmpl w:val="1C3EC484"/>
    <w:lvl w:ilvl="0" w:tplc="040E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C1688D"/>
    <w:multiLevelType w:val="hybridMultilevel"/>
    <w:tmpl w:val="1C3EC484"/>
    <w:lvl w:ilvl="0" w:tplc="040E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3A47E95"/>
    <w:multiLevelType w:val="hybridMultilevel"/>
    <w:tmpl w:val="DCCE5D4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5BFB0444"/>
    <w:multiLevelType w:val="hybridMultilevel"/>
    <w:tmpl w:val="D7F2F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D4A3354"/>
    <w:multiLevelType w:val="multilevel"/>
    <w:tmpl w:val="0809001F"/>
    <w:styleLink w:val="XXXList"/>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14"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116554D"/>
    <w:multiLevelType w:val="hybridMultilevel"/>
    <w:tmpl w:val="192CF82E"/>
    <w:lvl w:ilvl="0" w:tplc="A154B808">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94E49"/>
    <w:multiLevelType w:val="hybridMultilevel"/>
    <w:tmpl w:val="1C3EC484"/>
    <w:lvl w:ilvl="0" w:tplc="040E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8DA32CC"/>
    <w:multiLevelType w:val="hybridMultilevel"/>
    <w:tmpl w:val="FD5695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69B6795"/>
    <w:multiLevelType w:val="hybridMultilevel"/>
    <w:tmpl w:val="1C3EC484"/>
    <w:lvl w:ilvl="0" w:tplc="040E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968683A"/>
    <w:multiLevelType w:val="hybridMultilevel"/>
    <w:tmpl w:val="09681E56"/>
    <w:lvl w:ilvl="0" w:tplc="40B255A4">
      <w:start w:val="1"/>
      <w:numFmt w:val="decimal"/>
      <w:lvlText w:val="%1."/>
      <w:lvlJc w:val="left"/>
      <w:pPr>
        <w:ind w:left="720" w:hanging="360"/>
      </w:pPr>
      <w:rPr>
        <w:rFonts w:cs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7"/>
  </w:num>
  <w:num w:numId="5">
    <w:abstractNumId w:val="15"/>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0"/>
  </w:num>
  <w:num w:numId="12">
    <w:abstractNumId w:val="19"/>
  </w:num>
  <w:num w:numId="13">
    <w:abstractNumId w:val="9"/>
  </w:num>
  <w:num w:numId="14">
    <w:abstractNumId w:val="1"/>
  </w:num>
  <w:num w:numId="15">
    <w:abstractNumId w:val="18"/>
  </w:num>
  <w:num w:numId="16">
    <w:abstractNumId w:val="5"/>
  </w:num>
  <w:num w:numId="17">
    <w:abstractNumId w:val="17"/>
  </w:num>
  <w:num w:numId="18">
    <w:abstractNumId w:val="16"/>
  </w:num>
  <w:num w:numId="19">
    <w:abstractNumId w:val="11"/>
  </w:num>
  <w:num w:numId="20">
    <w:abstractNumId w:val="12"/>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hideSpellingErrors/>
  <w:hideGrammaticalErrors/>
  <w:defaultTabStop w:val="708"/>
  <w:hyphenationZone w:val="425"/>
  <w:drawingGridHorizontalSpacing w:val="110"/>
  <w:displayHorizontalDrawingGridEvery w:val="2"/>
  <w:characterSpacingControl w:val="doNotCompress"/>
  <w:hdrShapeDefaults>
    <o:shapedefaults v:ext="edit" spidmax="4098" style="mso-position-horizontal-relative:page;mso-position-vertical-relative:page" strokecolor="none [3215]">
      <v:stroke color="none [3215]" weight="1pt"/>
    </o:shapedefaults>
    <o:shapelayout v:ext="edit">
      <o:rules v:ext="edit">
        <o:r id="V:Rule2" type="connector" idref="#AutoShape 8"/>
      </o:rules>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71"/>
    <w:rsid w:val="000003C2"/>
    <w:rsid w:val="0000040E"/>
    <w:rsid w:val="00000772"/>
    <w:rsid w:val="00001811"/>
    <w:rsid w:val="00004BE4"/>
    <w:rsid w:val="000059C4"/>
    <w:rsid w:val="00006456"/>
    <w:rsid w:val="00006FA9"/>
    <w:rsid w:val="000079D9"/>
    <w:rsid w:val="000118B0"/>
    <w:rsid w:val="00012647"/>
    <w:rsid w:val="00013390"/>
    <w:rsid w:val="00013801"/>
    <w:rsid w:val="00016057"/>
    <w:rsid w:val="00016AA1"/>
    <w:rsid w:val="00024AF8"/>
    <w:rsid w:val="00027F78"/>
    <w:rsid w:val="00030761"/>
    <w:rsid w:val="00032577"/>
    <w:rsid w:val="000330BD"/>
    <w:rsid w:val="00033829"/>
    <w:rsid w:val="000354BD"/>
    <w:rsid w:val="00036746"/>
    <w:rsid w:val="000408A9"/>
    <w:rsid w:val="00043039"/>
    <w:rsid w:val="00045DEF"/>
    <w:rsid w:val="00046913"/>
    <w:rsid w:val="00046D0D"/>
    <w:rsid w:val="0004706E"/>
    <w:rsid w:val="00047AAF"/>
    <w:rsid w:val="00050760"/>
    <w:rsid w:val="000579F0"/>
    <w:rsid w:val="00057A0D"/>
    <w:rsid w:val="0006074F"/>
    <w:rsid w:val="00060C6B"/>
    <w:rsid w:val="00060FBC"/>
    <w:rsid w:val="0006467A"/>
    <w:rsid w:val="00066622"/>
    <w:rsid w:val="00072DA4"/>
    <w:rsid w:val="00075E57"/>
    <w:rsid w:val="000765AD"/>
    <w:rsid w:val="00084EBE"/>
    <w:rsid w:val="00087DB7"/>
    <w:rsid w:val="00095B30"/>
    <w:rsid w:val="000961F8"/>
    <w:rsid w:val="0009770C"/>
    <w:rsid w:val="000A0D42"/>
    <w:rsid w:val="000A1744"/>
    <w:rsid w:val="000A3146"/>
    <w:rsid w:val="000A40BE"/>
    <w:rsid w:val="000A601E"/>
    <w:rsid w:val="000A652F"/>
    <w:rsid w:val="000B02F1"/>
    <w:rsid w:val="000B203F"/>
    <w:rsid w:val="000B20D5"/>
    <w:rsid w:val="000B21E5"/>
    <w:rsid w:val="000B3A3D"/>
    <w:rsid w:val="000C0249"/>
    <w:rsid w:val="000C283B"/>
    <w:rsid w:val="000C5B6A"/>
    <w:rsid w:val="000C7181"/>
    <w:rsid w:val="000D019A"/>
    <w:rsid w:val="000D1B45"/>
    <w:rsid w:val="000D2CC6"/>
    <w:rsid w:val="000D341E"/>
    <w:rsid w:val="000D6D21"/>
    <w:rsid w:val="000E00F1"/>
    <w:rsid w:val="000E1A86"/>
    <w:rsid w:val="000E1BB6"/>
    <w:rsid w:val="000E25E1"/>
    <w:rsid w:val="000E32FA"/>
    <w:rsid w:val="000E4A77"/>
    <w:rsid w:val="000E563A"/>
    <w:rsid w:val="000F06C8"/>
    <w:rsid w:val="000F0B1D"/>
    <w:rsid w:val="000F2B5B"/>
    <w:rsid w:val="000F54C1"/>
    <w:rsid w:val="000F59C3"/>
    <w:rsid w:val="000F674C"/>
    <w:rsid w:val="000F685D"/>
    <w:rsid w:val="000F693C"/>
    <w:rsid w:val="001008E1"/>
    <w:rsid w:val="00102B76"/>
    <w:rsid w:val="00103314"/>
    <w:rsid w:val="0010498A"/>
    <w:rsid w:val="00105577"/>
    <w:rsid w:val="001066E4"/>
    <w:rsid w:val="00107374"/>
    <w:rsid w:val="00110460"/>
    <w:rsid w:val="00110FC1"/>
    <w:rsid w:val="00111642"/>
    <w:rsid w:val="00111DF2"/>
    <w:rsid w:val="00112D3B"/>
    <w:rsid w:val="001143DF"/>
    <w:rsid w:val="0011491D"/>
    <w:rsid w:val="00114BDA"/>
    <w:rsid w:val="001177C5"/>
    <w:rsid w:val="001206D4"/>
    <w:rsid w:val="00120EEC"/>
    <w:rsid w:val="0012174D"/>
    <w:rsid w:val="00124745"/>
    <w:rsid w:val="00126B18"/>
    <w:rsid w:val="00127D1A"/>
    <w:rsid w:val="001347A8"/>
    <w:rsid w:val="00140291"/>
    <w:rsid w:val="00142363"/>
    <w:rsid w:val="00143E63"/>
    <w:rsid w:val="00143F91"/>
    <w:rsid w:val="00147626"/>
    <w:rsid w:val="00147BED"/>
    <w:rsid w:val="00150A3A"/>
    <w:rsid w:val="00150B72"/>
    <w:rsid w:val="00152CAE"/>
    <w:rsid w:val="00156CDC"/>
    <w:rsid w:val="00160131"/>
    <w:rsid w:val="00161070"/>
    <w:rsid w:val="00161366"/>
    <w:rsid w:val="00162B68"/>
    <w:rsid w:val="00163012"/>
    <w:rsid w:val="00163422"/>
    <w:rsid w:val="001654AF"/>
    <w:rsid w:val="0016641C"/>
    <w:rsid w:val="001671E3"/>
    <w:rsid w:val="0017303B"/>
    <w:rsid w:val="00174315"/>
    <w:rsid w:val="00174C39"/>
    <w:rsid w:val="00176536"/>
    <w:rsid w:val="00181BBD"/>
    <w:rsid w:val="0018540A"/>
    <w:rsid w:val="0018585D"/>
    <w:rsid w:val="00190F85"/>
    <w:rsid w:val="0019287E"/>
    <w:rsid w:val="00194DBE"/>
    <w:rsid w:val="0019547A"/>
    <w:rsid w:val="001A0FF4"/>
    <w:rsid w:val="001A1990"/>
    <w:rsid w:val="001A2075"/>
    <w:rsid w:val="001A29FC"/>
    <w:rsid w:val="001A2E1D"/>
    <w:rsid w:val="001A3395"/>
    <w:rsid w:val="001A3B31"/>
    <w:rsid w:val="001A55A2"/>
    <w:rsid w:val="001A5F15"/>
    <w:rsid w:val="001A7031"/>
    <w:rsid w:val="001A76E9"/>
    <w:rsid w:val="001B2377"/>
    <w:rsid w:val="001B269F"/>
    <w:rsid w:val="001B298E"/>
    <w:rsid w:val="001B3D67"/>
    <w:rsid w:val="001B6ACF"/>
    <w:rsid w:val="001B7E06"/>
    <w:rsid w:val="001C0F8F"/>
    <w:rsid w:val="001C1AF0"/>
    <w:rsid w:val="001C42E0"/>
    <w:rsid w:val="001C4F2E"/>
    <w:rsid w:val="001D19A7"/>
    <w:rsid w:val="001D3462"/>
    <w:rsid w:val="001D41D8"/>
    <w:rsid w:val="001D41FD"/>
    <w:rsid w:val="001D5DA3"/>
    <w:rsid w:val="001D733B"/>
    <w:rsid w:val="001D762E"/>
    <w:rsid w:val="001E0116"/>
    <w:rsid w:val="001E2016"/>
    <w:rsid w:val="001E21E3"/>
    <w:rsid w:val="001E2776"/>
    <w:rsid w:val="001E46EC"/>
    <w:rsid w:val="001E6144"/>
    <w:rsid w:val="001E6525"/>
    <w:rsid w:val="001E792D"/>
    <w:rsid w:val="001E7F0F"/>
    <w:rsid w:val="001F09FA"/>
    <w:rsid w:val="001F0F4E"/>
    <w:rsid w:val="001F36D6"/>
    <w:rsid w:val="001F69B5"/>
    <w:rsid w:val="002107C2"/>
    <w:rsid w:val="00210A05"/>
    <w:rsid w:val="0021474E"/>
    <w:rsid w:val="002228BD"/>
    <w:rsid w:val="00224DC2"/>
    <w:rsid w:val="002309D3"/>
    <w:rsid w:val="002312AC"/>
    <w:rsid w:val="002341CF"/>
    <w:rsid w:val="00236627"/>
    <w:rsid w:val="00236C4B"/>
    <w:rsid w:val="0024169C"/>
    <w:rsid w:val="002417A3"/>
    <w:rsid w:val="002433F5"/>
    <w:rsid w:val="0024495E"/>
    <w:rsid w:val="002468CF"/>
    <w:rsid w:val="00247DBB"/>
    <w:rsid w:val="00250F2F"/>
    <w:rsid w:val="00254E78"/>
    <w:rsid w:val="0025665E"/>
    <w:rsid w:val="00260AEB"/>
    <w:rsid w:val="002613D9"/>
    <w:rsid w:val="00264751"/>
    <w:rsid w:val="00267BD7"/>
    <w:rsid w:val="00270373"/>
    <w:rsid w:val="00270823"/>
    <w:rsid w:val="0027115B"/>
    <w:rsid w:val="00272786"/>
    <w:rsid w:val="002732D5"/>
    <w:rsid w:val="00274C09"/>
    <w:rsid w:val="0027786A"/>
    <w:rsid w:val="0028028F"/>
    <w:rsid w:val="00280BDF"/>
    <w:rsid w:val="0028125C"/>
    <w:rsid w:val="00282151"/>
    <w:rsid w:val="002856BC"/>
    <w:rsid w:val="00285B00"/>
    <w:rsid w:val="00285C19"/>
    <w:rsid w:val="00290A52"/>
    <w:rsid w:val="0029256D"/>
    <w:rsid w:val="002947EA"/>
    <w:rsid w:val="002950FF"/>
    <w:rsid w:val="002977A1"/>
    <w:rsid w:val="002A0B08"/>
    <w:rsid w:val="002A1E40"/>
    <w:rsid w:val="002A4168"/>
    <w:rsid w:val="002B272C"/>
    <w:rsid w:val="002B2DB1"/>
    <w:rsid w:val="002B3B7B"/>
    <w:rsid w:val="002C4F9F"/>
    <w:rsid w:val="002C668E"/>
    <w:rsid w:val="002D0803"/>
    <w:rsid w:val="002D140D"/>
    <w:rsid w:val="002D2455"/>
    <w:rsid w:val="002D2E12"/>
    <w:rsid w:val="002D322B"/>
    <w:rsid w:val="002D47C5"/>
    <w:rsid w:val="002D499D"/>
    <w:rsid w:val="002D68CE"/>
    <w:rsid w:val="002E3273"/>
    <w:rsid w:val="002E44CD"/>
    <w:rsid w:val="002E470A"/>
    <w:rsid w:val="002E4926"/>
    <w:rsid w:val="002E752A"/>
    <w:rsid w:val="002F1147"/>
    <w:rsid w:val="002F1DFF"/>
    <w:rsid w:val="002F1F41"/>
    <w:rsid w:val="002F20F9"/>
    <w:rsid w:val="002F423B"/>
    <w:rsid w:val="002F5EFD"/>
    <w:rsid w:val="002F6842"/>
    <w:rsid w:val="003000B2"/>
    <w:rsid w:val="00301DC5"/>
    <w:rsid w:val="003025D1"/>
    <w:rsid w:val="00304536"/>
    <w:rsid w:val="003053CA"/>
    <w:rsid w:val="003075A0"/>
    <w:rsid w:val="003079A9"/>
    <w:rsid w:val="003110BF"/>
    <w:rsid w:val="00311E4E"/>
    <w:rsid w:val="00316D2D"/>
    <w:rsid w:val="003234A6"/>
    <w:rsid w:val="003234FA"/>
    <w:rsid w:val="0032409E"/>
    <w:rsid w:val="00325086"/>
    <w:rsid w:val="00330365"/>
    <w:rsid w:val="003314D0"/>
    <w:rsid w:val="00332CC9"/>
    <w:rsid w:val="0033372B"/>
    <w:rsid w:val="00341096"/>
    <w:rsid w:val="003444FB"/>
    <w:rsid w:val="00344C99"/>
    <w:rsid w:val="00347B71"/>
    <w:rsid w:val="00350C7B"/>
    <w:rsid w:val="00352E0A"/>
    <w:rsid w:val="00355D73"/>
    <w:rsid w:val="003567B8"/>
    <w:rsid w:val="0035703A"/>
    <w:rsid w:val="003616D4"/>
    <w:rsid w:val="003619E1"/>
    <w:rsid w:val="00361DB5"/>
    <w:rsid w:val="00363FD9"/>
    <w:rsid w:val="00367938"/>
    <w:rsid w:val="0037247F"/>
    <w:rsid w:val="00375CC7"/>
    <w:rsid w:val="00376731"/>
    <w:rsid w:val="00376A05"/>
    <w:rsid w:val="0037768B"/>
    <w:rsid w:val="0038017C"/>
    <w:rsid w:val="0038029D"/>
    <w:rsid w:val="003846DA"/>
    <w:rsid w:val="0038669D"/>
    <w:rsid w:val="00390A88"/>
    <w:rsid w:val="003919B3"/>
    <w:rsid w:val="003921B3"/>
    <w:rsid w:val="00392E34"/>
    <w:rsid w:val="00393864"/>
    <w:rsid w:val="00393DE7"/>
    <w:rsid w:val="003953B9"/>
    <w:rsid w:val="003A008C"/>
    <w:rsid w:val="003A1503"/>
    <w:rsid w:val="003A354D"/>
    <w:rsid w:val="003A3FD2"/>
    <w:rsid w:val="003A5A63"/>
    <w:rsid w:val="003A67E9"/>
    <w:rsid w:val="003A79A5"/>
    <w:rsid w:val="003B012B"/>
    <w:rsid w:val="003B09A7"/>
    <w:rsid w:val="003B18A2"/>
    <w:rsid w:val="003B2B80"/>
    <w:rsid w:val="003B39E3"/>
    <w:rsid w:val="003B4442"/>
    <w:rsid w:val="003B63CE"/>
    <w:rsid w:val="003B6540"/>
    <w:rsid w:val="003C1787"/>
    <w:rsid w:val="003C1EE0"/>
    <w:rsid w:val="003C20F1"/>
    <w:rsid w:val="003C32C5"/>
    <w:rsid w:val="003C5035"/>
    <w:rsid w:val="003C5152"/>
    <w:rsid w:val="003D0965"/>
    <w:rsid w:val="003D0E89"/>
    <w:rsid w:val="003D10A3"/>
    <w:rsid w:val="003D15CA"/>
    <w:rsid w:val="003D2A99"/>
    <w:rsid w:val="003D4C07"/>
    <w:rsid w:val="003D5000"/>
    <w:rsid w:val="003D68E6"/>
    <w:rsid w:val="003D6991"/>
    <w:rsid w:val="003E1CEA"/>
    <w:rsid w:val="003E1E93"/>
    <w:rsid w:val="003E4A51"/>
    <w:rsid w:val="003E4D3B"/>
    <w:rsid w:val="003E7350"/>
    <w:rsid w:val="003E7600"/>
    <w:rsid w:val="003F24DC"/>
    <w:rsid w:val="003F36CF"/>
    <w:rsid w:val="003F495C"/>
    <w:rsid w:val="003F55AE"/>
    <w:rsid w:val="00401221"/>
    <w:rsid w:val="00402D18"/>
    <w:rsid w:val="004104C5"/>
    <w:rsid w:val="00410A3C"/>
    <w:rsid w:val="00410D7E"/>
    <w:rsid w:val="00410F23"/>
    <w:rsid w:val="00411C65"/>
    <w:rsid w:val="00412498"/>
    <w:rsid w:val="00413FD1"/>
    <w:rsid w:val="004165C6"/>
    <w:rsid w:val="004213F3"/>
    <w:rsid w:val="00421B64"/>
    <w:rsid w:val="00423E1A"/>
    <w:rsid w:val="004267EF"/>
    <w:rsid w:val="00432FF7"/>
    <w:rsid w:val="0043566C"/>
    <w:rsid w:val="00443380"/>
    <w:rsid w:val="004456C1"/>
    <w:rsid w:val="00450491"/>
    <w:rsid w:val="00451474"/>
    <w:rsid w:val="00451B9E"/>
    <w:rsid w:val="0045447A"/>
    <w:rsid w:val="00456FE7"/>
    <w:rsid w:val="00461A70"/>
    <w:rsid w:val="00461AED"/>
    <w:rsid w:val="0046373A"/>
    <w:rsid w:val="00464898"/>
    <w:rsid w:val="00465A9A"/>
    <w:rsid w:val="0046624A"/>
    <w:rsid w:val="00472180"/>
    <w:rsid w:val="004721F0"/>
    <w:rsid w:val="00474874"/>
    <w:rsid w:val="00474E1F"/>
    <w:rsid w:val="00475A02"/>
    <w:rsid w:val="00475CC8"/>
    <w:rsid w:val="00475F7F"/>
    <w:rsid w:val="00477ACD"/>
    <w:rsid w:val="00482734"/>
    <w:rsid w:val="00484660"/>
    <w:rsid w:val="00484B64"/>
    <w:rsid w:val="0048638E"/>
    <w:rsid w:val="00490789"/>
    <w:rsid w:val="00495694"/>
    <w:rsid w:val="00497954"/>
    <w:rsid w:val="004A06AE"/>
    <w:rsid w:val="004A1355"/>
    <w:rsid w:val="004A1E7D"/>
    <w:rsid w:val="004A3371"/>
    <w:rsid w:val="004A717B"/>
    <w:rsid w:val="004A7262"/>
    <w:rsid w:val="004A7CDC"/>
    <w:rsid w:val="004B0150"/>
    <w:rsid w:val="004B4D5F"/>
    <w:rsid w:val="004B6993"/>
    <w:rsid w:val="004B768D"/>
    <w:rsid w:val="004C419B"/>
    <w:rsid w:val="004D01CB"/>
    <w:rsid w:val="004D17C2"/>
    <w:rsid w:val="004D2955"/>
    <w:rsid w:val="004D6309"/>
    <w:rsid w:val="004D73CD"/>
    <w:rsid w:val="004D7415"/>
    <w:rsid w:val="004D7594"/>
    <w:rsid w:val="004D7677"/>
    <w:rsid w:val="004D7879"/>
    <w:rsid w:val="004E5A6A"/>
    <w:rsid w:val="004E5C2C"/>
    <w:rsid w:val="004E5D84"/>
    <w:rsid w:val="004F1CB1"/>
    <w:rsid w:val="00501B7F"/>
    <w:rsid w:val="00501D42"/>
    <w:rsid w:val="00502354"/>
    <w:rsid w:val="00504A30"/>
    <w:rsid w:val="00506FDF"/>
    <w:rsid w:val="0050775B"/>
    <w:rsid w:val="0051409F"/>
    <w:rsid w:val="0051440A"/>
    <w:rsid w:val="005243E8"/>
    <w:rsid w:val="00525545"/>
    <w:rsid w:val="00527CCA"/>
    <w:rsid w:val="00531B89"/>
    <w:rsid w:val="005336DE"/>
    <w:rsid w:val="00534F83"/>
    <w:rsid w:val="0053705D"/>
    <w:rsid w:val="005435D0"/>
    <w:rsid w:val="00543840"/>
    <w:rsid w:val="00543CA7"/>
    <w:rsid w:val="00544B00"/>
    <w:rsid w:val="00545DC3"/>
    <w:rsid w:val="00547043"/>
    <w:rsid w:val="0055078E"/>
    <w:rsid w:val="005524B7"/>
    <w:rsid w:val="00552C72"/>
    <w:rsid w:val="005545D3"/>
    <w:rsid w:val="00557274"/>
    <w:rsid w:val="00562B36"/>
    <w:rsid w:val="0056329C"/>
    <w:rsid w:val="0056352E"/>
    <w:rsid w:val="005663C7"/>
    <w:rsid w:val="00570817"/>
    <w:rsid w:val="00575227"/>
    <w:rsid w:val="00577318"/>
    <w:rsid w:val="005815EC"/>
    <w:rsid w:val="0058491B"/>
    <w:rsid w:val="00585827"/>
    <w:rsid w:val="005860DD"/>
    <w:rsid w:val="005869A7"/>
    <w:rsid w:val="00590A19"/>
    <w:rsid w:val="00591734"/>
    <w:rsid w:val="005926F6"/>
    <w:rsid w:val="005928BC"/>
    <w:rsid w:val="00593168"/>
    <w:rsid w:val="00594508"/>
    <w:rsid w:val="00597024"/>
    <w:rsid w:val="005A0220"/>
    <w:rsid w:val="005A311E"/>
    <w:rsid w:val="005A403B"/>
    <w:rsid w:val="005A4D38"/>
    <w:rsid w:val="005A5DC8"/>
    <w:rsid w:val="005A7896"/>
    <w:rsid w:val="005B03D4"/>
    <w:rsid w:val="005B0BF4"/>
    <w:rsid w:val="005B2444"/>
    <w:rsid w:val="005B3EB0"/>
    <w:rsid w:val="005B4820"/>
    <w:rsid w:val="005B7D05"/>
    <w:rsid w:val="005C0557"/>
    <w:rsid w:val="005C0746"/>
    <w:rsid w:val="005C0A2D"/>
    <w:rsid w:val="005C38A9"/>
    <w:rsid w:val="005C5FDC"/>
    <w:rsid w:val="005C7410"/>
    <w:rsid w:val="005C758B"/>
    <w:rsid w:val="005D068C"/>
    <w:rsid w:val="005D3FB8"/>
    <w:rsid w:val="005D6C82"/>
    <w:rsid w:val="005E04B7"/>
    <w:rsid w:val="005E5A07"/>
    <w:rsid w:val="005E5B74"/>
    <w:rsid w:val="005F1F7C"/>
    <w:rsid w:val="005F334C"/>
    <w:rsid w:val="006014D6"/>
    <w:rsid w:val="00601E12"/>
    <w:rsid w:val="00601F26"/>
    <w:rsid w:val="00602BB7"/>
    <w:rsid w:val="0060540C"/>
    <w:rsid w:val="0060799D"/>
    <w:rsid w:val="00611B5F"/>
    <w:rsid w:val="00612AD5"/>
    <w:rsid w:val="006157B9"/>
    <w:rsid w:val="0062175F"/>
    <w:rsid w:val="00622ABC"/>
    <w:rsid w:val="00623B44"/>
    <w:rsid w:val="006244A4"/>
    <w:rsid w:val="00625462"/>
    <w:rsid w:val="00626CF6"/>
    <w:rsid w:val="006308D4"/>
    <w:rsid w:val="006366CE"/>
    <w:rsid w:val="006421F0"/>
    <w:rsid w:val="0064250C"/>
    <w:rsid w:val="0064345A"/>
    <w:rsid w:val="00646F0E"/>
    <w:rsid w:val="006476C4"/>
    <w:rsid w:val="00647FAE"/>
    <w:rsid w:val="00647FDB"/>
    <w:rsid w:val="00650852"/>
    <w:rsid w:val="00651533"/>
    <w:rsid w:val="00656B9A"/>
    <w:rsid w:val="00657741"/>
    <w:rsid w:val="006610C6"/>
    <w:rsid w:val="006611C4"/>
    <w:rsid w:val="00661CBA"/>
    <w:rsid w:val="0066321D"/>
    <w:rsid w:val="0066440A"/>
    <w:rsid w:val="006651C9"/>
    <w:rsid w:val="0066578A"/>
    <w:rsid w:val="0067038F"/>
    <w:rsid w:val="00671273"/>
    <w:rsid w:val="006715A7"/>
    <w:rsid w:val="006740CC"/>
    <w:rsid w:val="0067620B"/>
    <w:rsid w:val="006805DD"/>
    <w:rsid w:val="00680D83"/>
    <w:rsid w:val="0068264A"/>
    <w:rsid w:val="0068276C"/>
    <w:rsid w:val="006840F9"/>
    <w:rsid w:val="006861E5"/>
    <w:rsid w:val="00690CFD"/>
    <w:rsid w:val="00693220"/>
    <w:rsid w:val="0069470B"/>
    <w:rsid w:val="00696EBB"/>
    <w:rsid w:val="00697BA9"/>
    <w:rsid w:val="006A12FA"/>
    <w:rsid w:val="006A1313"/>
    <w:rsid w:val="006A27F6"/>
    <w:rsid w:val="006A4DF4"/>
    <w:rsid w:val="006A5182"/>
    <w:rsid w:val="006B27E5"/>
    <w:rsid w:val="006B34F1"/>
    <w:rsid w:val="006B4ACE"/>
    <w:rsid w:val="006B5463"/>
    <w:rsid w:val="006B69FD"/>
    <w:rsid w:val="006B7341"/>
    <w:rsid w:val="006B7816"/>
    <w:rsid w:val="006B7C21"/>
    <w:rsid w:val="006C21E5"/>
    <w:rsid w:val="006C22DC"/>
    <w:rsid w:val="006C37C6"/>
    <w:rsid w:val="006C3831"/>
    <w:rsid w:val="006C40AB"/>
    <w:rsid w:val="006D10F7"/>
    <w:rsid w:val="006D29DD"/>
    <w:rsid w:val="006D450C"/>
    <w:rsid w:val="006E00F4"/>
    <w:rsid w:val="006E2792"/>
    <w:rsid w:val="006E5ADB"/>
    <w:rsid w:val="006E7EA7"/>
    <w:rsid w:val="006E7EF4"/>
    <w:rsid w:val="006F0D01"/>
    <w:rsid w:val="006F0D49"/>
    <w:rsid w:val="006F407A"/>
    <w:rsid w:val="006F5F01"/>
    <w:rsid w:val="006F610D"/>
    <w:rsid w:val="006F63BB"/>
    <w:rsid w:val="006F7146"/>
    <w:rsid w:val="00700104"/>
    <w:rsid w:val="00703E9A"/>
    <w:rsid w:val="00705BB4"/>
    <w:rsid w:val="007124EB"/>
    <w:rsid w:val="00715F40"/>
    <w:rsid w:val="00717C4C"/>
    <w:rsid w:val="00720BD0"/>
    <w:rsid w:val="0072317A"/>
    <w:rsid w:val="0072447F"/>
    <w:rsid w:val="007255E9"/>
    <w:rsid w:val="00725A7E"/>
    <w:rsid w:val="00726B01"/>
    <w:rsid w:val="00730421"/>
    <w:rsid w:val="00733667"/>
    <w:rsid w:val="0073636E"/>
    <w:rsid w:val="007400E0"/>
    <w:rsid w:val="0074057E"/>
    <w:rsid w:val="00741409"/>
    <w:rsid w:val="00742223"/>
    <w:rsid w:val="0074242A"/>
    <w:rsid w:val="0074457E"/>
    <w:rsid w:val="0074524E"/>
    <w:rsid w:val="0074542B"/>
    <w:rsid w:val="00745E9F"/>
    <w:rsid w:val="007570AE"/>
    <w:rsid w:val="007579A0"/>
    <w:rsid w:val="007604FF"/>
    <w:rsid w:val="007610DF"/>
    <w:rsid w:val="007644C1"/>
    <w:rsid w:val="0076645F"/>
    <w:rsid w:val="00767C88"/>
    <w:rsid w:val="00770845"/>
    <w:rsid w:val="007717D5"/>
    <w:rsid w:val="00780951"/>
    <w:rsid w:val="007833AC"/>
    <w:rsid w:val="007856F1"/>
    <w:rsid w:val="00786BD8"/>
    <w:rsid w:val="00787007"/>
    <w:rsid w:val="007904DC"/>
    <w:rsid w:val="007A37F2"/>
    <w:rsid w:val="007A3AB2"/>
    <w:rsid w:val="007A686E"/>
    <w:rsid w:val="007A71A7"/>
    <w:rsid w:val="007A7640"/>
    <w:rsid w:val="007B0348"/>
    <w:rsid w:val="007B1193"/>
    <w:rsid w:val="007B4CBE"/>
    <w:rsid w:val="007B5446"/>
    <w:rsid w:val="007B69F1"/>
    <w:rsid w:val="007B7451"/>
    <w:rsid w:val="007C046F"/>
    <w:rsid w:val="007C2116"/>
    <w:rsid w:val="007C26D7"/>
    <w:rsid w:val="007C39B2"/>
    <w:rsid w:val="007C3C07"/>
    <w:rsid w:val="007C5B09"/>
    <w:rsid w:val="007C6E8B"/>
    <w:rsid w:val="007C7052"/>
    <w:rsid w:val="007D090C"/>
    <w:rsid w:val="007D1310"/>
    <w:rsid w:val="007D1FFC"/>
    <w:rsid w:val="007D2999"/>
    <w:rsid w:val="007D3FC6"/>
    <w:rsid w:val="007D590C"/>
    <w:rsid w:val="007D5CD8"/>
    <w:rsid w:val="007D5DC3"/>
    <w:rsid w:val="007D7222"/>
    <w:rsid w:val="007D75C0"/>
    <w:rsid w:val="007D7FD3"/>
    <w:rsid w:val="007E07A5"/>
    <w:rsid w:val="007E1355"/>
    <w:rsid w:val="007E6984"/>
    <w:rsid w:val="007F2A54"/>
    <w:rsid w:val="007F31DD"/>
    <w:rsid w:val="007F3F2A"/>
    <w:rsid w:val="007F4229"/>
    <w:rsid w:val="007F4396"/>
    <w:rsid w:val="007F4B9D"/>
    <w:rsid w:val="007F4F0D"/>
    <w:rsid w:val="007F4F2A"/>
    <w:rsid w:val="007F5FE8"/>
    <w:rsid w:val="007F6078"/>
    <w:rsid w:val="007F62C0"/>
    <w:rsid w:val="00800A15"/>
    <w:rsid w:val="00802022"/>
    <w:rsid w:val="00802DCB"/>
    <w:rsid w:val="008066D6"/>
    <w:rsid w:val="00806BAE"/>
    <w:rsid w:val="008078DC"/>
    <w:rsid w:val="00807CA3"/>
    <w:rsid w:val="00813C12"/>
    <w:rsid w:val="008153A9"/>
    <w:rsid w:val="008243A6"/>
    <w:rsid w:val="00827013"/>
    <w:rsid w:val="0084146D"/>
    <w:rsid w:val="00841893"/>
    <w:rsid w:val="00841F19"/>
    <w:rsid w:val="00845105"/>
    <w:rsid w:val="008458A1"/>
    <w:rsid w:val="0085182E"/>
    <w:rsid w:val="00851DB6"/>
    <w:rsid w:val="008530AD"/>
    <w:rsid w:val="00855895"/>
    <w:rsid w:val="00857538"/>
    <w:rsid w:val="00857638"/>
    <w:rsid w:val="00861DA8"/>
    <w:rsid w:val="00862391"/>
    <w:rsid w:val="00863C01"/>
    <w:rsid w:val="00864206"/>
    <w:rsid w:val="00866952"/>
    <w:rsid w:val="00866B2D"/>
    <w:rsid w:val="0087089F"/>
    <w:rsid w:val="00871CC4"/>
    <w:rsid w:val="00874F2F"/>
    <w:rsid w:val="00875CD7"/>
    <w:rsid w:val="008803E1"/>
    <w:rsid w:val="00881240"/>
    <w:rsid w:val="008837C8"/>
    <w:rsid w:val="00883B30"/>
    <w:rsid w:val="008849B5"/>
    <w:rsid w:val="008878DA"/>
    <w:rsid w:val="00892D0C"/>
    <w:rsid w:val="00896F83"/>
    <w:rsid w:val="008A21B2"/>
    <w:rsid w:val="008A253A"/>
    <w:rsid w:val="008A5A44"/>
    <w:rsid w:val="008B1F24"/>
    <w:rsid w:val="008B34B1"/>
    <w:rsid w:val="008B5814"/>
    <w:rsid w:val="008C038C"/>
    <w:rsid w:val="008C44BA"/>
    <w:rsid w:val="008C4D21"/>
    <w:rsid w:val="008C5780"/>
    <w:rsid w:val="008C5801"/>
    <w:rsid w:val="008C5F89"/>
    <w:rsid w:val="008C6790"/>
    <w:rsid w:val="008D169F"/>
    <w:rsid w:val="008D1D6F"/>
    <w:rsid w:val="008D2F17"/>
    <w:rsid w:val="008D3F8E"/>
    <w:rsid w:val="008D4ED6"/>
    <w:rsid w:val="008D5926"/>
    <w:rsid w:val="008D681F"/>
    <w:rsid w:val="008D71B7"/>
    <w:rsid w:val="008E281C"/>
    <w:rsid w:val="008E2AA0"/>
    <w:rsid w:val="008E323C"/>
    <w:rsid w:val="008E516D"/>
    <w:rsid w:val="008E6B02"/>
    <w:rsid w:val="008E6F79"/>
    <w:rsid w:val="008E72BA"/>
    <w:rsid w:val="008E78BE"/>
    <w:rsid w:val="008E7C2D"/>
    <w:rsid w:val="008F2F79"/>
    <w:rsid w:val="008F3DCB"/>
    <w:rsid w:val="008F4A42"/>
    <w:rsid w:val="008F7EA0"/>
    <w:rsid w:val="00900A84"/>
    <w:rsid w:val="00901C1B"/>
    <w:rsid w:val="009020D4"/>
    <w:rsid w:val="00903B95"/>
    <w:rsid w:val="00904E2B"/>
    <w:rsid w:val="00906140"/>
    <w:rsid w:val="00906285"/>
    <w:rsid w:val="00907970"/>
    <w:rsid w:val="00911461"/>
    <w:rsid w:val="00912034"/>
    <w:rsid w:val="00912153"/>
    <w:rsid w:val="0091720A"/>
    <w:rsid w:val="009222B9"/>
    <w:rsid w:val="00922A3D"/>
    <w:rsid w:val="00922A58"/>
    <w:rsid w:val="009261AD"/>
    <w:rsid w:val="00926984"/>
    <w:rsid w:val="00930526"/>
    <w:rsid w:val="009316A8"/>
    <w:rsid w:val="00931EBA"/>
    <w:rsid w:val="00935823"/>
    <w:rsid w:val="00936A07"/>
    <w:rsid w:val="00937FCB"/>
    <w:rsid w:val="00945CC5"/>
    <w:rsid w:val="00946A07"/>
    <w:rsid w:val="00957EAD"/>
    <w:rsid w:val="00960938"/>
    <w:rsid w:val="00961B9F"/>
    <w:rsid w:val="00962EFE"/>
    <w:rsid w:val="00971770"/>
    <w:rsid w:val="00972020"/>
    <w:rsid w:val="009722FE"/>
    <w:rsid w:val="00974992"/>
    <w:rsid w:val="00977D67"/>
    <w:rsid w:val="00983B15"/>
    <w:rsid w:val="0098583A"/>
    <w:rsid w:val="0099378F"/>
    <w:rsid w:val="009946C8"/>
    <w:rsid w:val="009963CF"/>
    <w:rsid w:val="009A0715"/>
    <w:rsid w:val="009A1949"/>
    <w:rsid w:val="009A349A"/>
    <w:rsid w:val="009A479F"/>
    <w:rsid w:val="009A4EE9"/>
    <w:rsid w:val="009A5917"/>
    <w:rsid w:val="009A5C60"/>
    <w:rsid w:val="009A6BAB"/>
    <w:rsid w:val="009A7214"/>
    <w:rsid w:val="009A7CA3"/>
    <w:rsid w:val="009B0E98"/>
    <w:rsid w:val="009B32CA"/>
    <w:rsid w:val="009B54E6"/>
    <w:rsid w:val="009C0B37"/>
    <w:rsid w:val="009C14B1"/>
    <w:rsid w:val="009C2318"/>
    <w:rsid w:val="009C28B1"/>
    <w:rsid w:val="009C4ACD"/>
    <w:rsid w:val="009C7294"/>
    <w:rsid w:val="009C73B4"/>
    <w:rsid w:val="009C77EB"/>
    <w:rsid w:val="009D0616"/>
    <w:rsid w:val="009D0CF2"/>
    <w:rsid w:val="009D1A76"/>
    <w:rsid w:val="009D2756"/>
    <w:rsid w:val="009E130C"/>
    <w:rsid w:val="009E238C"/>
    <w:rsid w:val="009E2B6B"/>
    <w:rsid w:val="009E4304"/>
    <w:rsid w:val="009E7790"/>
    <w:rsid w:val="009E7E02"/>
    <w:rsid w:val="009E7F1F"/>
    <w:rsid w:val="009F3B2E"/>
    <w:rsid w:val="009F42CD"/>
    <w:rsid w:val="00A001A9"/>
    <w:rsid w:val="00A02334"/>
    <w:rsid w:val="00A03874"/>
    <w:rsid w:val="00A11F7D"/>
    <w:rsid w:val="00A140C6"/>
    <w:rsid w:val="00A14A83"/>
    <w:rsid w:val="00A22435"/>
    <w:rsid w:val="00A23294"/>
    <w:rsid w:val="00A251C6"/>
    <w:rsid w:val="00A263AF"/>
    <w:rsid w:val="00A26526"/>
    <w:rsid w:val="00A26FBF"/>
    <w:rsid w:val="00A304A9"/>
    <w:rsid w:val="00A323BE"/>
    <w:rsid w:val="00A33BCE"/>
    <w:rsid w:val="00A3564A"/>
    <w:rsid w:val="00A379FF"/>
    <w:rsid w:val="00A40894"/>
    <w:rsid w:val="00A41668"/>
    <w:rsid w:val="00A448E0"/>
    <w:rsid w:val="00A50654"/>
    <w:rsid w:val="00A51CAB"/>
    <w:rsid w:val="00A54746"/>
    <w:rsid w:val="00A60144"/>
    <w:rsid w:val="00A61838"/>
    <w:rsid w:val="00A61A0C"/>
    <w:rsid w:val="00A64A8E"/>
    <w:rsid w:val="00A65034"/>
    <w:rsid w:val="00A66D30"/>
    <w:rsid w:val="00A67D26"/>
    <w:rsid w:val="00A703B9"/>
    <w:rsid w:val="00A70B14"/>
    <w:rsid w:val="00A7116D"/>
    <w:rsid w:val="00A728AE"/>
    <w:rsid w:val="00A736A7"/>
    <w:rsid w:val="00A75DCB"/>
    <w:rsid w:val="00A77470"/>
    <w:rsid w:val="00A82744"/>
    <w:rsid w:val="00A8613A"/>
    <w:rsid w:val="00A926C0"/>
    <w:rsid w:val="00A92C55"/>
    <w:rsid w:val="00A934F6"/>
    <w:rsid w:val="00A93EC7"/>
    <w:rsid w:val="00A94145"/>
    <w:rsid w:val="00A96485"/>
    <w:rsid w:val="00AA013B"/>
    <w:rsid w:val="00AA0B54"/>
    <w:rsid w:val="00AA0D34"/>
    <w:rsid w:val="00AA21F7"/>
    <w:rsid w:val="00AA44BB"/>
    <w:rsid w:val="00AA47FB"/>
    <w:rsid w:val="00AA626E"/>
    <w:rsid w:val="00AA6847"/>
    <w:rsid w:val="00AA6BF2"/>
    <w:rsid w:val="00AA76AF"/>
    <w:rsid w:val="00AB1EC9"/>
    <w:rsid w:val="00AC0A33"/>
    <w:rsid w:val="00AC2A64"/>
    <w:rsid w:val="00AC3FF6"/>
    <w:rsid w:val="00AC6146"/>
    <w:rsid w:val="00AC6915"/>
    <w:rsid w:val="00AD083F"/>
    <w:rsid w:val="00AD0FB8"/>
    <w:rsid w:val="00AD1BD7"/>
    <w:rsid w:val="00AD2C7B"/>
    <w:rsid w:val="00AD4F63"/>
    <w:rsid w:val="00AE3926"/>
    <w:rsid w:val="00AE3F65"/>
    <w:rsid w:val="00AE4556"/>
    <w:rsid w:val="00AE5520"/>
    <w:rsid w:val="00AE7E6E"/>
    <w:rsid w:val="00AF06B7"/>
    <w:rsid w:val="00AF1B1B"/>
    <w:rsid w:val="00AF1EDA"/>
    <w:rsid w:val="00AF2C44"/>
    <w:rsid w:val="00AF3273"/>
    <w:rsid w:val="00AF5C4B"/>
    <w:rsid w:val="00AF639B"/>
    <w:rsid w:val="00AF6A82"/>
    <w:rsid w:val="00B03A22"/>
    <w:rsid w:val="00B03FC5"/>
    <w:rsid w:val="00B04144"/>
    <w:rsid w:val="00B0467E"/>
    <w:rsid w:val="00B05A35"/>
    <w:rsid w:val="00B07EEE"/>
    <w:rsid w:val="00B12FA3"/>
    <w:rsid w:val="00B131B4"/>
    <w:rsid w:val="00B139E5"/>
    <w:rsid w:val="00B208D9"/>
    <w:rsid w:val="00B22315"/>
    <w:rsid w:val="00B30CDC"/>
    <w:rsid w:val="00B30D59"/>
    <w:rsid w:val="00B31837"/>
    <w:rsid w:val="00B33372"/>
    <w:rsid w:val="00B338A1"/>
    <w:rsid w:val="00B33EDF"/>
    <w:rsid w:val="00B34A1E"/>
    <w:rsid w:val="00B352BD"/>
    <w:rsid w:val="00B36519"/>
    <w:rsid w:val="00B36E0E"/>
    <w:rsid w:val="00B40DFE"/>
    <w:rsid w:val="00B42C94"/>
    <w:rsid w:val="00B4344D"/>
    <w:rsid w:val="00B50A58"/>
    <w:rsid w:val="00B51EF7"/>
    <w:rsid w:val="00B566B7"/>
    <w:rsid w:val="00B5799F"/>
    <w:rsid w:val="00B60B10"/>
    <w:rsid w:val="00B61E6C"/>
    <w:rsid w:val="00B660B2"/>
    <w:rsid w:val="00B7012E"/>
    <w:rsid w:val="00B70758"/>
    <w:rsid w:val="00B72FDB"/>
    <w:rsid w:val="00B759DC"/>
    <w:rsid w:val="00B80FC2"/>
    <w:rsid w:val="00B83250"/>
    <w:rsid w:val="00B83BFB"/>
    <w:rsid w:val="00B855A5"/>
    <w:rsid w:val="00B9202C"/>
    <w:rsid w:val="00B9411C"/>
    <w:rsid w:val="00B9645F"/>
    <w:rsid w:val="00B96C08"/>
    <w:rsid w:val="00BA005E"/>
    <w:rsid w:val="00BA0763"/>
    <w:rsid w:val="00BA4D2F"/>
    <w:rsid w:val="00BA67DA"/>
    <w:rsid w:val="00BA68B0"/>
    <w:rsid w:val="00BB0152"/>
    <w:rsid w:val="00BB0F63"/>
    <w:rsid w:val="00BB2FB1"/>
    <w:rsid w:val="00BC0885"/>
    <w:rsid w:val="00BC10C7"/>
    <w:rsid w:val="00BC1679"/>
    <w:rsid w:val="00BC1F1B"/>
    <w:rsid w:val="00BC4C32"/>
    <w:rsid w:val="00BC5198"/>
    <w:rsid w:val="00BD040A"/>
    <w:rsid w:val="00BD718F"/>
    <w:rsid w:val="00BE023F"/>
    <w:rsid w:val="00BE1281"/>
    <w:rsid w:val="00BE2B3B"/>
    <w:rsid w:val="00BE39DD"/>
    <w:rsid w:val="00BE5B5D"/>
    <w:rsid w:val="00BE6758"/>
    <w:rsid w:val="00BE6CAF"/>
    <w:rsid w:val="00BE6CD8"/>
    <w:rsid w:val="00BE77DF"/>
    <w:rsid w:val="00BF0B65"/>
    <w:rsid w:val="00BF208C"/>
    <w:rsid w:val="00BF2970"/>
    <w:rsid w:val="00BF3BBE"/>
    <w:rsid w:val="00BF3F27"/>
    <w:rsid w:val="00BF549A"/>
    <w:rsid w:val="00C0019C"/>
    <w:rsid w:val="00C04465"/>
    <w:rsid w:val="00C05370"/>
    <w:rsid w:val="00C10822"/>
    <w:rsid w:val="00C1117E"/>
    <w:rsid w:val="00C12BB2"/>
    <w:rsid w:val="00C13B46"/>
    <w:rsid w:val="00C16BCF"/>
    <w:rsid w:val="00C16FA5"/>
    <w:rsid w:val="00C2008A"/>
    <w:rsid w:val="00C21D5B"/>
    <w:rsid w:val="00C23195"/>
    <w:rsid w:val="00C234D4"/>
    <w:rsid w:val="00C23E1A"/>
    <w:rsid w:val="00C2694D"/>
    <w:rsid w:val="00C27B99"/>
    <w:rsid w:val="00C32411"/>
    <w:rsid w:val="00C3439B"/>
    <w:rsid w:val="00C345AB"/>
    <w:rsid w:val="00C362D9"/>
    <w:rsid w:val="00C367B7"/>
    <w:rsid w:val="00C40B8C"/>
    <w:rsid w:val="00C40D8B"/>
    <w:rsid w:val="00C41801"/>
    <w:rsid w:val="00C42532"/>
    <w:rsid w:val="00C475E8"/>
    <w:rsid w:val="00C47B17"/>
    <w:rsid w:val="00C51C07"/>
    <w:rsid w:val="00C526B7"/>
    <w:rsid w:val="00C56F72"/>
    <w:rsid w:val="00C57B25"/>
    <w:rsid w:val="00C62BE7"/>
    <w:rsid w:val="00C6436F"/>
    <w:rsid w:val="00C70F6D"/>
    <w:rsid w:val="00C71DA8"/>
    <w:rsid w:val="00C7244E"/>
    <w:rsid w:val="00C8192B"/>
    <w:rsid w:val="00C81F0C"/>
    <w:rsid w:val="00C82405"/>
    <w:rsid w:val="00C842B3"/>
    <w:rsid w:val="00C85B5C"/>
    <w:rsid w:val="00C86959"/>
    <w:rsid w:val="00C86C65"/>
    <w:rsid w:val="00C87707"/>
    <w:rsid w:val="00C90241"/>
    <w:rsid w:val="00C97B7F"/>
    <w:rsid w:val="00CA2917"/>
    <w:rsid w:val="00CA6077"/>
    <w:rsid w:val="00CA72DB"/>
    <w:rsid w:val="00CA77E5"/>
    <w:rsid w:val="00CB11B2"/>
    <w:rsid w:val="00CB14AB"/>
    <w:rsid w:val="00CB2698"/>
    <w:rsid w:val="00CC08DC"/>
    <w:rsid w:val="00CC42C7"/>
    <w:rsid w:val="00CC5D63"/>
    <w:rsid w:val="00CC6EA8"/>
    <w:rsid w:val="00CC7B09"/>
    <w:rsid w:val="00CD009F"/>
    <w:rsid w:val="00CD1FED"/>
    <w:rsid w:val="00CD2DBA"/>
    <w:rsid w:val="00CD4EA9"/>
    <w:rsid w:val="00CD6841"/>
    <w:rsid w:val="00CD7873"/>
    <w:rsid w:val="00CD7951"/>
    <w:rsid w:val="00CE3C63"/>
    <w:rsid w:val="00CF00A3"/>
    <w:rsid w:val="00CF0AEE"/>
    <w:rsid w:val="00CF256D"/>
    <w:rsid w:val="00CF2FED"/>
    <w:rsid w:val="00CF383E"/>
    <w:rsid w:val="00CF619E"/>
    <w:rsid w:val="00CF6245"/>
    <w:rsid w:val="00CF7865"/>
    <w:rsid w:val="00CF7F44"/>
    <w:rsid w:val="00D00D05"/>
    <w:rsid w:val="00D034AD"/>
    <w:rsid w:val="00D15E17"/>
    <w:rsid w:val="00D16369"/>
    <w:rsid w:val="00D16C65"/>
    <w:rsid w:val="00D23411"/>
    <w:rsid w:val="00D23BC1"/>
    <w:rsid w:val="00D2477D"/>
    <w:rsid w:val="00D25A41"/>
    <w:rsid w:val="00D25B07"/>
    <w:rsid w:val="00D26C85"/>
    <w:rsid w:val="00D31469"/>
    <w:rsid w:val="00D34C3D"/>
    <w:rsid w:val="00D36E7C"/>
    <w:rsid w:val="00D43900"/>
    <w:rsid w:val="00D4423D"/>
    <w:rsid w:val="00D469B0"/>
    <w:rsid w:val="00D4713F"/>
    <w:rsid w:val="00D5151B"/>
    <w:rsid w:val="00D51A6D"/>
    <w:rsid w:val="00D52562"/>
    <w:rsid w:val="00D52D64"/>
    <w:rsid w:val="00D551F2"/>
    <w:rsid w:val="00D55694"/>
    <w:rsid w:val="00D567C1"/>
    <w:rsid w:val="00D60BCF"/>
    <w:rsid w:val="00D6124B"/>
    <w:rsid w:val="00D61919"/>
    <w:rsid w:val="00D64867"/>
    <w:rsid w:val="00D6500E"/>
    <w:rsid w:val="00D7362C"/>
    <w:rsid w:val="00D76682"/>
    <w:rsid w:val="00D833AD"/>
    <w:rsid w:val="00D83D78"/>
    <w:rsid w:val="00D84F27"/>
    <w:rsid w:val="00D90217"/>
    <w:rsid w:val="00D9176D"/>
    <w:rsid w:val="00D939BE"/>
    <w:rsid w:val="00D93BC9"/>
    <w:rsid w:val="00D9486F"/>
    <w:rsid w:val="00D95DFD"/>
    <w:rsid w:val="00D963DE"/>
    <w:rsid w:val="00D97120"/>
    <w:rsid w:val="00D97833"/>
    <w:rsid w:val="00D97D21"/>
    <w:rsid w:val="00DA3E09"/>
    <w:rsid w:val="00DA3F99"/>
    <w:rsid w:val="00DA4876"/>
    <w:rsid w:val="00DA60A0"/>
    <w:rsid w:val="00DA7926"/>
    <w:rsid w:val="00DB0160"/>
    <w:rsid w:val="00DB3352"/>
    <w:rsid w:val="00DB439C"/>
    <w:rsid w:val="00DB4639"/>
    <w:rsid w:val="00DB4D83"/>
    <w:rsid w:val="00DB5704"/>
    <w:rsid w:val="00DB618B"/>
    <w:rsid w:val="00DB6E50"/>
    <w:rsid w:val="00DB6EE4"/>
    <w:rsid w:val="00DB733A"/>
    <w:rsid w:val="00DC147F"/>
    <w:rsid w:val="00DC3C81"/>
    <w:rsid w:val="00DC6271"/>
    <w:rsid w:val="00DD0B06"/>
    <w:rsid w:val="00DD0F5F"/>
    <w:rsid w:val="00DD1D4C"/>
    <w:rsid w:val="00DD56C8"/>
    <w:rsid w:val="00DD5FC6"/>
    <w:rsid w:val="00DD66E8"/>
    <w:rsid w:val="00DD6BDC"/>
    <w:rsid w:val="00DD7B1F"/>
    <w:rsid w:val="00DE0C31"/>
    <w:rsid w:val="00DE7350"/>
    <w:rsid w:val="00DE75CA"/>
    <w:rsid w:val="00DE7C0A"/>
    <w:rsid w:val="00DF04D3"/>
    <w:rsid w:val="00DF15CD"/>
    <w:rsid w:val="00DF2380"/>
    <w:rsid w:val="00E00281"/>
    <w:rsid w:val="00E10EE9"/>
    <w:rsid w:val="00E11BDB"/>
    <w:rsid w:val="00E20B31"/>
    <w:rsid w:val="00E2501C"/>
    <w:rsid w:val="00E3141E"/>
    <w:rsid w:val="00E33703"/>
    <w:rsid w:val="00E34B0E"/>
    <w:rsid w:val="00E41B31"/>
    <w:rsid w:val="00E4278C"/>
    <w:rsid w:val="00E46FC2"/>
    <w:rsid w:val="00E50477"/>
    <w:rsid w:val="00E5285A"/>
    <w:rsid w:val="00E5345B"/>
    <w:rsid w:val="00E56314"/>
    <w:rsid w:val="00E57E30"/>
    <w:rsid w:val="00E61B20"/>
    <w:rsid w:val="00E659F2"/>
    <w:rsid w:val="00E665A8"/>
    <w:rsid w:val="00E71581"/>
    <w:rsid w:val="00E7480B"/>
    <w:rsid w:val="00E801ED"/>
    <w:rsid w:val="00E80C3B"/>
    <w:rsid w:val="00E82CAF"/>
    <w:rsid w:val="00E84C0E"/>
    <w:rsid w:val="00E84F95"/>
    <w:rsid w:val="00E85082"/>
    <w:rsid w:val="00E9305D"/>
    <w:rsid w:val="00E93582"/>
    <w:rsid w:val="00E93B72"/>
    <w:rsid w:val="00E94914"/>
    <w:rsid w:val="00E958D5"/>
    <w:rsid w:val="00E966A5"/>
    <w:rsid w:val="00E96D29"/>
    <w:rsid w:val="00E97709"/>
    <w:rsid w:val="00EA1B40"/>
    <w:rsid w:val="00EA413E"/>
    <w:rsid w:val="00EA4C2D"/>
    <w:rsid w:val="00EA51FE"/>
    <w:rsid w:val="00EA7E41"/>
    <w:rsid w:val="00EB0588"/>
    <w:rsid w:val="00EB1DFD"/>
    <w:rsid w:val="00EB1E40"/>
    <w:rsid w:val="00EB3011"/>
    <w:rsid w:val="00EB4950"/>
    <w:rsid w:val="00EB530C"/>
    <w:rsid w:val="00EB5BD6"/>
    <w:rsid w:val="00EC02C0"/>
    <w:rsid w:val="00EC05EE"/>
    <w:rsid w:val="00EC32AF"/>
    <w:rsid w:val="00EC3578"/>
    <w:rsid w:val="00EC36A7"/>
    <w:rsid w:val="00EC38E2"/>
    <w:rsid w:val="00EC393E"/>
    <w:rsid w:val="00ED052D"/>
    <w:rsid w:val="00ED0C1C"/>
    <w:rsid w:val="00ED3CB2"/>
    <w:rsid w:val="00ED4CA8"/>
    <w:rsid w:val="00ED4FAB"/>
    <w:rsid w:val="00ED72A8"/>
    <w:rsid w:val="00EE0CF7"/>
    <w:rsid w:val="00EE1691"/>
    <w:rsid w:val="00EE1B88"/>
    <w:rsid w:val="00EE5DA0"/>
    <w:rsid w:val="00EE5EB4"/>
    <w:rsid w:val="00EE68EE"/>
    <w:rsid w:val="00EE7A9A"/>
    <w:rsid w:val="00EF1373"/>
    <w:rsid w:val="00EF2ACE"/>
    <w:rsid w:val="00EF2D2E"/>
    <w:rsid w:val="00EF3551"/>
    <w:rsid w:val="00EF4A42"/>
    <w:rsid w:val="00EF5E77"/>
    <w:rsid w:val="00EF6F32"/>
    <w:rsid w:val="00EF7A0A"/>
    <w:rsid w:val="00EF7EA5"/>
    <w:rsid w:val="00F004A8"/>
    <w:rsid w:val="00F01598"/>
    <w:rsid w:val="00F016B3"/>
    <w:rsid w:val="00F06B36"/>
    <w:rsid w:val="00F10679"/>
    <w:rsid w:val="00F140AD"/>
    <w:rsid w:val="00F15859"/>
    <w:rsid w:val="00F1736A"/>
    <w:rsid w:val="00F17639"/>
    <w:rsid w:val="00F2121C"/>
    <w:rsid w:val="00F212CB"/>
    <w:rsid w:val="00F25868"/>
    <w:rsid w:val="00F25CB1"/>
    <w:rsid w:val="00F26515"/>
    <w:rsid w:val="00F27CF6"/>
    <w:rsid w:val="00F30D1A"/>
    <w:rsid w:val="00F32510"/>
    <w:rsid w:val="00F345EE"/>
    <w:rsid w:val="00F356A9"/>
    <w:rsid w:val="00F359E7"/>
    <w:rsid w:val="00F35FED"/>
    <w:rsid w:val="00F420AF"/>
    <w:rsid w:val="00F42667"/>
    <w:rsid w:val="00F4331C"/>
    <w:rsid w:val="00F433A8"/>
    <w:rsid w:val="00F43A43"/>
    <w:rsid w:val="00F46084"/>
    <w:rsid w:val="00F47444"/>
    <w:rsid w:val="00F4757E"/>
    <w:rsid w:val="00F50A6D"/>
    <w:rsid w:val="00F50B53"/>
    <w:rsid w:val="00F514D1"/>
    <w:rsid w:val="00F54108"/>
    <w:rsid w:val="00F57E25"/>
    <w:rsid w:val="00F60169"/>
    <w:rsid w:val="00F60F25"/>
    <w:rsid w:val="00F61A9C"/>
    <w:rsid w:val="00F62110"/>
    <w:rsid w:val="00F62A00"/>
    <w:rsid w:val="00F63589"/>
    <w:rsid w:val="00F64210"/>
    <w:rsid w:val="00F66A14"/>
    <w:rsid w:val="00F66B1D"/>
    <w:rsid w:val="00F66D46"/>
    <w:rsid w:val="00F67240"/>
    <w:rsid w:val="00F7019C"/>
    <w:rsid w:val="00F7088B"/>
    <w:rsid w:val="00F73C95"/>
    <w:rsid w:val="00F74BCF"/>
    <w:rsid w:val="00F76445"/>
    <w:rsid w:val="00F80655"/>
    <w:rsid w:val="00F83547"/>
    <w:rsid w:val="00F838B8"/>
    <w:rsid w:val="00F83E17"/>
    <w:rsid w:val="00F90498"/>
    <w:rsid w:val="00F90D36"/>
    <w:rsid w:val="00F964F4"/>
    <w:rsid w:val="00F96F2D"/>
    <w:rsid w:val="00F9734D"/>
    <w:rsid w:val="00F977CE"/>
    <w:rsid w:val="00FA2B6F"/>
    <w:rsid w:val="00FA4C96"/>
    <w:rsid w:val="00FA5EF8"/>
    <w:rsid w:val="00FA66F9"/>
    <w:rsid w:val="00FB341A"/>
    <w:rsid w:val="00FB5B10"/>
    <w:rsid w:val="00FC1F81"/>
    <w:rsid w:val="00FC4486"/>
    <w:rsid w:val="00FC4561"/>
    <w:rsid w:val="00FC4A38"/>
    <w:rsid w:val="00FC5C53"/>
    <w:rsid w:val="00FC6F32"/>
    <w:rsid w:val="00FC7E90"/>
    <w:rsid w:val="00FD13B1"/>
    <w:rsid w:val="00FD14F1"/>
    <w:rsid w:val="00FD2F59"/>
    <w:rsid w:val="00FD38DE"/>
    <w:rsid w:val="00FD5D89"/>
    <w:rsid w:val="00FD6B9A"/>
    <w:rsid w:val="00FD7BEA"/>
    <w:rsid w:val="00FE0011"/>
    <w:rsid w:val="00FE05EB"/>
    <w:rsid w:val="00FE4676"/>
    <w:rsid w:val="00FF170E"/>
    <w:rsid w:val="00FF2F1D"/>
    <w:rsid w:val="00FF5716"/>
    <w:rsid w:val="00FF7A47"/>
    <w:rsid w:val="3F686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style="mso-position-horizontal-relative:page;mso-position-vertical-relative:page" strokecolor="none [3215]">
      <v:stroke color="none [3215]" weight="1pt"/>
    </o:shapedefaults>
    <o:shapelayout v:ext="edit">
      <o:idmap v:ext="edit" data="1"/>
    </o:shapelayout>
  </w:shapeDefaults>
  <w:decimalSymbol w:val="."/>
  <w:listSeparator w:val=","/>
  <w15:docId w15:val="{8F5118F3-FD2A-4BF2-A62B-4063C795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052"/>
    <w:rPr>
      <w:lang w:val="en-GB"/>
    </w:rPr>
  </w:style>
  <w:style w:type="paragraph" w:styleId="Heading1">
    <w:name w:val="heading 1"/>
    <w:basedOn w:val="Normal"/>
    <w:next w:val="Normal"/>
    <w:link w:val="Heading1Char"/>
    <w:uiPriority w:val="9"/>
    <w:semiHidden/>
    <w:qFormat/>
    <w:rsid w:val="004B6993"/>
    <w:pPr>
      <w:keepNext/>
      <w:keepLines/>
      <w:spacing w:before="480"/>
      <w:outlineLvl w:val="0"/>
    </w:pPr>
    <w:rPr>
      <w:rFonts w:asciiTheme="majorHAnsi" w:eastAsiaTheme="majorEastAsia" w:hAnsiTheme="majorHAnsi" w:cstheme="majorBidi"/>
      <w:b/>
      <w:bCs/>
      <w:color w:val="42447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qFormat/>
    <w:rsid w:val="00F46084"/>
    <w:pPr>
      <w:spacing w:after="120"/>
    </w:pPr>
  </w:style>
  <w:style w:type="paragraph" w:styleId="Header">
    <w:name w:val="header"/>
    <w:basedOn w:val="Normal"/>
    <w:link w:val="HeaderChar"/>
    <w:uiPriority w:val="99"/>
    <w:unhideWhenUsed/>
    <w:rsid w:val="00B04144"/>
    <w:pPr>
      <w:tabs>
        <w:tab w:val="center" w:pos="4536"/>
        <w:tab w:val="right" w:pos="9072"/>
      </w:tabs>
    </w:pPr>
  </w:style>
  <w:style w:type="character" w:customStyle="1" w:styleId="HeaderChar">
    <w:name w:val="Header Char"/>
    <w:basedOn w:val="DefaultParagraphFont"/>
    <w:link w:val="Header"/>
    <w:uiPriority w:val="99"/>
    <w:rsid w:val="00B04144"/>
  </w:style>
  <w:style w:type="paragraph" w:styleId="Footer">
    <w:name w:val="footer"/>
    <w:basedOn w:val="Normal"/>
    <w:link w:val="FooterChar"/>
    <w:uiPriority w:val="99"/>
    <w:semiHidden/>
    <w:rsid w:val="00B04144"/>
    <w:pPr>
      <w:tabs>
        <w:tab w:val="center" w:pos="4536"/>
        <w:tab w:val="right" w:pos="9072"/>
      </w:tabs>
    </w:pPr>
  </w:style>
  <w:style w:type="character" w:customStyle="1" w:styleId="FooterChar">
    <w:name w:val="Footer Char"/>
    <w:basedOn w:val="DefaultParagraphFont"/>
    <w:link w:val="Footer"/>
    <w:uiPriority w:val="99"/>
    <w:semiHidden/>
    <w:rsid w:val="00CD009F"/>
    <w:rPr>
      <w:lang w:val="en-GB"/>
    </w:rPr>
  </w:style>
  <w:style w:type="paragraph" w:styleId="BalloonText">
    <w:name w:val="Balloon Text"/>
    <w:basedOn w:val="Normal"/>
    <w:link w:val="BalloonTextChar"/>
    <w:uiPriority w:val="99"/>
    <w:semiHidden/>
    <w:unhideWhenUsed/>
    <w:rsid w:val="00B04144"/>
    <w:rPr>
      <w:rFonts w:ascii="Tahoma" w:hAnsi="Tahoma" w:cs="Tahoma"/>
      <w:sz w:val="16"/>
      <w:szCs w:val="16"/>
    </w:rPr>
  </w:style>
  <w:style w:type="character" w:customStyle="1" w:styleId="BalloonTextChar">
    <w:name w:val="Balloon Text Char"/>
    <w:basedOn w:val="DefaultParagraphFont"/>
    <w:link w:val="BalloonText"/>
    <w:uiPriority w:val="99"/>
    <w:semiHidden/>
    <w:rsid w:val="00B04144"/>
    <w:rPr>
      <w:rFonts w:ascii="Tahoma" w:hAnsi="Tahoma" w:cs="Tahoma"/>
      <w:sz w:val="16"/>
      <w:szCs w:val="16"/>
    </w:rPr>
  </w:style>
  <w:style w:type="paragraph" w:customStyle="1" w:styleId="headlineheader">
    <w:name w:val="headline header"/>
    <w:basedOn w:val="textregular"/>
    <w:uiPriority w:val="1"/>
    <w:qFormat/>
    <w:rsid w:val="007A686E"/>
    <w:pPr>
      <w:spacing w:after="280" w:line="600" w:lineRule="exact"/>
    </w:pPr>
    <w:rPr>
      <w:rFonts w:asciiTheme="majorHAnsi" w:hAnsiTheme="majorHAnsi" w:cstheme="majorHAnsi"/>
      <w:b/>
      <w:color w:val="23236E" w:themeColor="text2"/>
      <w:sz w:val="57"/>
      <w:szCs w:val="57"/>
    </w:rPr>
  </w:style>
  <w:style w:type="paragraph" w:customStyle="1" w:styleId="textheader">
    <w:name w:val="text header"/>
    <w:basedOn w:val="textregular"/>
    <w:uiPriority w:val="1"/>
    <w:qFormat/>
    <w:rsid w:val="00B30D59"/>
    <w:pPr>
      <w:spacing w:after="400" w:line="500" w:lineRule="exact"/>
    </w:pPr>
    <w:rPr>
      <w:rFonts w:asciiTheme="majorHAnsi" w:hAnsiTheme="majorHAnsi" w:cstheme="majorHAnsi"/>
      <w:color w:val="23236E" w:themeColor="text2"/>
      <w:sz w:val="40"/>
      <w:szCs w:val="40"/>
      <w:lang w:val="en-US"/>
    </w:rPr>
  </w:style>
  <w:style w:type="paragraph" w:customStyle="1" w:styleId="time">
    <w:name w:val="time"/>
    <w:basedOn w:val="textregular"/>
    <w:uiPriority w:val="1"/>
    <w:qFormat/>
    <w:rsid w:val="007A686E"/>
    <w:pPr>
      <w:framePr w:hSpace="142" w:vSpace="5528" w:wrap="around" w:vAnchor="page" w:hAnchor="page" w:x="1362" w:y="5104"/>
      <w:spacing w:after="0" w:line="320" w:lineRule="exact"/>
    </w:pPr>
    <w:rPr>
      <w:rFonts w:asciiTheme="majorHAnsi" w:hAnsiTheme="majorHAnsi" w:cstheme="majorHAnsi"/>
      <w:sz w:val="29"/>
      <w:szCs w:val="29"/>
      <w:lang w:val="en-US"/>
    </w:rPr>
  </w:style>
  <w:style w:type="character" w:styleId="PlaceholderText">
    <w:name w:val="Placeholder Text"/>
    <w:basedOn w:val="DefaultParagraphFont"/>
    <w:uiPriority w:val="99"/>
    <w:semiHidden/>
    <w:rsid w:val="00903B95"/>
    <w:rPr>
      <w:color w:val="808080"/>
    </w:rPr>
  </w:style>
  <w:style w:type="paragraph" w:customStyle="1" w:styleId="headline1">
    <w:name w:val="headline 1"/>
    <w:basedOn w:val="textregular"/>
    <w:uiPriority w:val="2"/>
    <w:qFormat/>
    <w:rsid w:val="000F693C"/>
    <w:pPr>
      <w:spacing w:before="400" w:line="340" w:lineRule="exact"/>
      <w:outlineLvl w:val="0"/>
    </w:pPr>
    <w:rPr>
      <w:rFonts w:asciiTheme="majorHAnsi" w:hAnsiTheme="majorHAnsi" w:cstheme="majorHAnsi"/>
      <w:b/>
      <w:color w:val="23236E" w:themeColor="text2"/>
      <w:sz w:val="28"/>
      <w:szCs w:val="28"/>
    </w:rPr>
  </w:style>
  <w:style w:type="numbering" w:customStyle="1" w:styleId="XXXList">
    <w:name w:val="XXX_List"/>
    <w:basedOn w:val="NoList"/>
    <w:uiPriority w:val="99"/>
    <w:rsid w:val="00D9486F"/>
    <w:pPr>
      <w:numPr>
        <w:numId w:val="1"/>
      </w:numPr>
    </w:pPr>
  </w:style>
  <w:style w:type="character" w:customStyle="1" w:styleId="Heading1Char">
    <w:name w:val="Heading 1 Char"/>
    <w:basedOn w:val="DefaultParagraphFont"/>
    <w:link w:val="Heading1"/>
    <w:uiPriority w:val="9"/>
    <w:semiHidden/>
    <w:rsid w:val="004B6993"/>
    <w:rPr>
      <w:rFonts w:asciiTheme="majorHAnsi" w:eastAsiaTheme="majorEastAsia" w:hAnsiTheme="majorHAnsi" w:cstheme="majorBidi"/>
      <w:b/>
      <w:bCs/>
      <w:color w:val="424477" w:themeColor="accent1" w:themeShade="BF"/>
      <w:sz w:val="28"/>
      <w:szCs w:val="28"/>
    </w:rPr>
  </w:style>
  <w:style w:type="paragraph" w:styleId="TOC1">
    <w:name w:val="toc 1"/>
    <w:basedOn w:val="Normal"/>
    <w:next w:val="Normal"/>
    <w:autoRedefine/>
    <w:uiPriority w:val="39"/>
    <w:unhideWhenUsed/>
    <w:rsid w:val="00CC7B09"/>
    <w:pPr>
      <w:tabs>
        <w:tab w:val="right" w:leader="dot" w:pos="9514"/>
      </w:tabs>
      <w:spacing w:after="100"/>
    </w:pPr>
    <w:rPr>
      <w:rFonts w:asciiTheme="majorHAnsi" w:hAnsiTheme="majorHAnsi"/>
    </w:rPr>
  </w:style>
  <w:style w:type="paragraph" w:styleId="TOCHeading">
    <w:name w:val="TOC Heading"/>
    <w:basedOn w:val="Heading1"/>
    <w:next w:val="Normal"/>
    <w:uiPriority w:val="39"/>
    <w:semiHidden/>
    <w:unhideWhenUsed/>
    <w:qFormat/>
    <w:rsid w:val="004B6993"/>
    <w:pPr>
      <w:spacing w:line="276" w:lineRule="auto"/>
      <w:outlineLvl w:val="9"/>
    </w:pPr>
  </w:style>
  <w:style w:type="character" w:styleId="Hyperlink">
    <w:name w:val="Hyperlink"/>
    <w:basedOn w:val="DefaultParagraphFont"/>
    <w:uiPriority w:val="99"/>
    <w:rsid w:val="0099378F"/>
    <w:rPr>
      <w:color w:val="0000FF" w:themeColor="hyperlink"/>
      <w:u w:val="single"/>
    </w:rPr>
  </w:style>
  <w:style w:type="paragraph" w:customStyle="1" w:styleId="decisionhead">
    <w:name w:val="decision head"/>
    <w:basedOn w:val="textregular"/>
    <w:uiPriority w:val="3"/>
    <w:qFormat/>
    <w:rsid w:val="00CD009F"/>
    <w:pPr>
      <w:pBdr>
        <w:top w:val="single" w:sz="24" w:space="1" w:color="B4B4C8" w:themeColor="accent4"/>
        <w:left w:val="single" w:sz="24" w:space="4" w:color="B4B4C8" w:themeColor="accent4"/>
        <w:bottom w:val="single" w:sz="24" w:space="1" w:color="B4B4C8" w:themeColor="accent4"/>
        <w:right w:val="single" w:sz="24" w:space="4" w:color="B4B4C8" w:themeColor="accent4"/>
      </w:pBdr>
      <w:shd w:val="clear" w:color="auto" w:fill="B4B4C8" w:themeFill="accent4"/>
      <w:spacing w:after="0" w:line="260" w:lineRule="exact"/>
      <w:ind w:left="170" w:right="170"/>
    </w:pPr>
    <w:rPr>
      <w:rFonts w:asciiTheme="majorHAnsi" w:hAnsiTheme="majorHAnsi" w:cstheme="majorHAnsi"/>
      <w:b/>
      <w:color w:val="23236E" w:themeColor="text2"/>
      <w:sz w:val="24"/>
      <w:szCs w:val="24"/>
    </w:rPr>
  </w:style>
  <w:style w:type="numbering" w:customStyle="1" w:styleId="XXXBulletList">
    <w:name w:val="XXX_Bullet List"/>
    <w:basedOn w:val="NoList"/>
    <w:uiPriority w:val="99"/>
    <w:rsid w:val="00590A19"/>
    <w:pPr>
      <w:numPr>
        <w:numId w:val="2"/>
      </w:numPr>
    </w:pPr>
  </w:style>
  <w:style w:type="paragraph" w:customStyle="1" w:styleId="decisionbullet1">
    <w:name w:val="decision bullet 1"/>
    <w:basedOn w:val="textregular"/>
    <w:uiPriority w:val="4"/>
    <w:qFormat/>
    <w:rsid w:val="00CD009F"/>
    <w:pPr>
      <w:numPr>
        <w:numId w:val="2"/>
      </w:numPr>
      <w:pBdr>
        <w:top w:val="single" w:sz="24" w:space="0" w:color="B4B4C8" w:themeColor="accent4"/>
        <w:left w:val="single" w:sz="24" w:space="4" w:color="B4B4C8" w:themeColor="accent4"/>
        <w:bottom w:val="single" w:sz="24" w:space="0" w:color="B4B4C8" w:themeColor="accent4"/>
        <w:right w:val="single" w:sz="24" w:space="4" w:color="B4B4C8" w:themeColor="accent4"/>
      </w:pBdr>
      <w:shd w:val="clear" w:color="auto" w:fill="B4B4C8" w:themeFill="accent4"/>
      <w:spacing w:after="0"/>
      <w:ind w:left="499" w:right="170"/>
    </w:pPr>
  </w:style>
  <w:style w:type="paragraph" w:customStyle="1" w:styleId="decisionbullet2">
    <w:name w:val="decision bullet 2"/>
    <w:basedOn w:val="textregular"/>
    <w:uiPriority w:val="4"/>
    <w:qFormat/>
    <w:rsid w:val="00B30D59"/>
    <w:pPr>
      <w:numPr>
        <w:ilvl w:val="1"/>
        <w:numId w:val="2"/>
      </w:numPr>
      <w:pBdr>
        <w:top w:val="single" w:sz="24" w:space="1" w:color="B4B4C8" w:themeColor="accent4"/>
        <w:left w:val="single" w:sz="24" w:space="21" w:color="B4B4C8" w:themeColor="accent4"/>
        <w:bottom w:val="single" w:sz="24" w:space="1" w:color="B4B4C8" w:themeColor="accent4"/>
        <w:right w:val="single" w:sz="24" w:space="4" w:color="B4B4C8" w:themeColor="accent4"/>
      </w:pBdr>
      <w:shd w:val="clear" w:color="auto" w:fill="B4B4C8" w:themeFill="accent4"/>
      <w:spacing w:after="0"/>
      <w:ind w:left="851" w:right="170" w:hanging="369"/>
    </w:pPr>
  </w:style>
  <w:style w:type="paragraph" w:customStyle="1" w:styleId="headline3">
    <w:name w:val="headline 3"/>
    <w:basedOn w:val="textregular"/>
    <w:uiPriority w:val="2"/>
    <w:qFormat/>
    <w:rsid w:val="000F693C"/>
    <w:pPr>
      <w:spacing w:after="20"/>
      <w:outlineLvl w:val="2"/>
    </w:pPr>
    <w:rPr>
      <w:b/>
    </w:rPr>
  </w:style>
  <w:style w:type="numbering" w:customStyle="1" w:styleId="XXXNummerierung">
    <w:name w:val="XXX_Nummerierung"/>
    <w:basedOn w:val="NoList"/>
    <w:uiPriority w:val="99"/>
    <w:rsid w:val="00E7480B"/>
    <w:pPr>
      <w:numPr>
        <w:numId w:val="3"/>
      </w:numPr>
    </w:pPr>
  </w:style>
  <w:style w:type="paragraph" w:customStyle="1" w:styleId="textenumeration">
    <w:name w:val="text enumeration"/>
    <w:basedOn w:val="textregular"/>
    <w:uiPriority w:val="4"/>
    <w:qFormat/>
    <w:rsid w:val="00E7480B"/>
    <w:pPr>
      <w:numPr>
        <w:numId w:val="3"/>
      </w:numPr>
      <w:contextualSpacing/>
    </w:pPr>
  </w:style>
  <w:style w:type="paragraph" w:customStyle="1" w:styleId="headline2">
    <w:name w:val="headline 2"/>
    <w:basedOn w:val="textregular"/>
    <w:uiPriority w:val="2"/>
    <w:qFormat/>
    <w:rsid w:val="000F693C"/>
    <w:pPr>
      <w:spacing w:line="260" w:lineRule="exact"/>
      <w:outlineLvl w:val="1"/>
    </w:pPr>
    <w:rPr>
      <w:rFonts w:asciiTheme="majorHAnsi" w:hAnsiTheme="majorHAnsi" w:cstheme="majorHAnsi"/>
      <w:b/>
      <w:color w:val="23236E" w:themeColor="text2"/>
      <w:sz w:val="24"/>
      <w:szCs w:val="24"/>
    </w:rPr>
  </w:style>
  <w:style w:type="numbering" w:customStyle="1" w:styleId="XXXtextbullets">
    <w:name w:val="XXX_text bullets"/>
    <w:basedOn w:val="NoList"/>
    <w:uiPriority w:val="99"/>
    <w:rsid w:val="000961F8"/>
    <w:pPr>
      <w:numPr>
        <w:numId w:val="4"/>
      </w:numPr>
    </w:pPr>
  </w:style>
  <w:style w:type="paragraph" w:customStyle="1" w:styleId="textbullets">
    <w:name w:val="text bullets"/>
    <w:basedOn w:val="textregular"/>
    <w:uiPriority w:val="5"/>
    <w:qFormat/>
    <w:rsid w:val="000961F8"/>
    <w:pPr>
      <w:numPr>
        <w:numId w:val="4"/>
      </w:numPr>
      <w:contextualSpacing/>
    </w:pPr>
  </w:style>
  <w:style w:type="table" w:customStyle="1" w:styleId="EntsoeeinfacheTabelle">
    <w:name w:val="Entsoe | einfache Tabelle"/>
    <w:basedOn w:val="TableNormal"/>
    <w:uiPriority w:val="99"/>
    <w:qFormat/>
    <w:rsid w:val="00922A3D"/>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23236E" w:themeColor="text2"/>
        <w:sz w:val="28"/>
      </w:rPr>
    </w:tblStylePr>
    <w:tblStylePr w:type="band1Horz">
      <w:tblPr/>
      <w:tcPr>
        <w:shd w:val="clear" w:color="auto" w:fill="D9D9D9" w:themeFill="background1" w:themeFillShade="D9"/>
      </w:tcPr>
    </w:tblStylePr>
  </w:style>
  <w:style w:type="paragraph" w:customStyle="1" w:styleId="footnote1">
    <w:name w:val="footnote 1"/>
    <w:basedOn w:val="textregular"/>
    <w:uiPriority w:val="6"/>
    <w:qFormat/>
    <w:rsid w:val="007E6984"/>
    <w:pPr>
      <w:pBdr>
        <w:top w:val="single" w:sz="8" w:space="11" w:color="auto"/>
      </w:pBdr>
      <w:spacing w:after="0"/>
    </w:pPr>
    <w:rPr>
      <w:sz w:val="19"/>
    </w:rPr>
  </w:style>
  <w:style w:type="paragraph" w:customStyle="1" w:styleId="footnote2">
    <w:name w:val="footnote 2"/>
    <w:basedOn w:val="textregular"/>
    <w:uiPriority w:val="6"/>
    <w:qFormat/>
    <w:rsid w:val="007E6984"/>
    <w:pPr>
      <w:spacing w:after="0"/>
    </w:pPr>
    <w:rPr>
      <w:sz w:val="19"/>
    </w:rPr>
  </w:style>
  <w:style w:type="paragraph" w:styleId="TOC3">
    <w:name w:val="toc 3"/>
    <w:basedOn w:val="Normal"/>
    <w:next w:val="Normal"/>
    <w:autoRedefine/>
    <w:uiPriority w:val="39"/>
    <w:unhideWhenUsed/>
    <w:rsid w:val="000F693C"/>
    <w:pPr>
      <w:spacing w:after="100"/>
      <w:ind w:left="440"/>
    </w:pPr>
  </w:style>
  <w:style w:type="paragraph" w:styleId="TOC2">
    <w:name w:val="toc 2"/>
    <w:basedOn w:val="Normal"/>
    <w:next w:val="Normal"/>
    <w:autoRedefine/>
    <w:uiPriority w:val="39"/>
    <w:unhideWhenUsed/>
    <w:rsid w:val="000F693C"/>
    <w:pPr>
      <w:spacing w:after="100"/>
      <w:ind w:left="220"/>
    </w:pPr>
  </w:style>
  <w:style w:type="paragraph" w:styleId="ListParagraph">
    <w:name w:val="List Paragraph"/>
    <w:aliases w:val="F List Paragraph"/>
    <w:basedOn w:val="Normal"/>
    <w:link w:val="ListParagraphChar"/>
    <w:uiPriority w:val="34"/>
    <w:qFormat/>
    <w:rsid w:val="00ED0C1C"/>
    <w:pPr>
      <w:spacing w:after="200"/>
      <w:jc w:val="both"/>
    </w:pPr>
    <w:rPr>
      <w:rFonts w:ascii="Calibri" w:eastAsia="Calibri" w:hAnsi="Calibri" w:cs="Times New Roman"/>
    </w:rPr>
  </w:style>
  <w:style w:type="character" w:customStyle="1" w:styleId="ListParagraphChar">
    <w:name w:val="List Paragraph Char"/>
    <w:aliases w:val="F List Paragraph Char"/>
    <w:basedOn w:val="DefaultParagraphFont"/>
    <w:link w:val="ListParagraph"/>
    <w:uiPriority w:val="34"/>
    <w:rsid w:val="00ED0C1C"/>
    <w:rPr>
      <w:rFonts w:ascii="Calibri" w:eastAsia="Calibri" w:hAnsi="Calibri" w:cs="Times New Roman"/>
      <w:lang w:val="en-GB"/>
    </w:rPr>
  </w:style>
  <w:style w:type="paragraph" w:styleId="NormalWeb">
    <w:name w:val="Normal (Web)"/>
    <w:basedOn w:val="Normal"/>
    <w:uiPriority w:val="99"/>
    <w:unhideWhenUsed/>
    <w:rsid w:val="00F06B36"/>
    <w:pPr>
      <w:spacing w:before="100" w:beforeAutospacing="1" w:after="100" w:afterAutospacing="1"/>
    </w:pPr>
    <w:rPr>
      <w:rFonts w:ascii="Times New Roman" w:eastAsia="Times New Roman" w:hAnsi="Times New Roman" w:cs="Times New Roman"/>
      <w:sz w:val="24"/>
      <w:szCs w:val="24"/>
      <w:lang w:val="cs-CZ" w:eastAsia="cs-CZ"/>
    </w:rPr>
  </w:style>
  <w:style w:type="character" w:styleId="CommentReference">
    <w:name w:val="annotation reference"/>
    <w:aliases w:val="Stinking Styles6,Marque de commentaire1"/>
    <w:basedOn w:val="DefaultParagraphFont"/>
    <w:uiPriority w:val="99"/>
    <w:unhideWhenUsed/>
    <w:rsid w:val="003D68E6"/>
    <w:rPr>
      <w:sz w:val="16"/>
      <w:szCs w:val="16"/>
    </w:rPr>
  </w:style>
  <w:style w:type="paragraph" w:styleId="CommentText">
    <w:name w:val="annotation text"/>
    <w:aliases w:val="Stinking Styles5"/>
    <w:basedOn w:val="Normal"/>
    <w:link w:val="CommentTextChar"/>
    <w:uiPriority w:val="99"/>
    <w:unhideWhenUsed/>
    <w:rsid w:val="003D68E6"/>
    <w:rPr>
      <w:sz w:val="20"/>
      <w:szCs w:val="20"/>
    </w:rPr>
  </w:style>
  <w:style w:type="character" w:customStyle="1" w:styleId="CommentTextChar">
    <w:name w:val="Comment Text Char"/>
    <w:aliases w:val="Stinking Styles5 Char"/>
    <w:basedOn w:val="DefaultParagraphFont"/>
    <w:link w:val="CommentText"/>
    <w:uiPriority w:val="99"/>
    <w:rsid w:val="003D68E6"/>
    <w:rPr>
      <w:sz w:val="20"/>
      <w:szCs w:val="20"/>
      <w:lang w:val="en-GB"/>
    </w:rPr>
  </w:style>
  <w:style w:type="paragraph" w:styleId="CommentSubject">
    <w:name w:val="annotation subject"/>
    <w:basedOn w:val="CommentText"/>
    <w:next w:val="CommentText"/>
    <w:link w:val="CommentSubjectChar"/>
    <w:uiPriority w:val="99"/>
    <w:semiHidden/>
    <w:unhideWhenUsed/>
    <w:rsid w:val="003D68E6"/>
    <w:rPr>
      <w:b/>
      <w:bCs/>
    </w:rPr>
  </w:style>
  <w:style w:type="character" w:customStyle="1" w:styleId="CommentSubjectChar">
    <w:name w:val="Comment Subject Char"/>
    <w:basedOn w:val="CommentTextChar"/>
    <w:link w:val="CommentSubject"/>
    <w:uiPriority w:val="99"/>
    <w:semiHidden/>
    <w:rsid w:val="003D68E6"/>
    <w:rPr>
      <w:b/>
      <w:bCs/>
      <w:sz w:val="20"/>
      <w:szCs w:val="20"/>
      <w:lang w:val="en-GB"/>
    </w:rPr>
  </w:style>
  <w:style w:type="paragraph" w:customStyle="1" w:styleId="Default">
    <w:name w:val="Default"/>
    <w:rsid w:val="00160131"/>
    <w:pPr>
      <w:autoSpaceDE w:val="0"/>
      <w:autoSpaceDN w:val="0"/>
      <w:adjustRightInd w:val="0"/>
    </w:pPr>
    <w:rPr>
      <w:rFonts w:ascii="Times New Roman" w:hAnsi="Times New Roman" w:cs="Times New Roman"/>
      <w:color w:val="000000"/>
      <w:sz w:val="24"/>
      <w:szCs w:val="24"/>
      <w:lang w:val="cs-CZ"/>
    </w:rPr>
  </w:style>
  <w:style w:type="table" w:customStyle="1" w:styleId="TableGrid1">
    <w:name w:val="Table Grid1"/>
    <w:basedOn w:val="TableNormal"/>
    <w:next w:val="TableGrid"/>
    <w:uiPriority w:val="39"/>
    <w:rsid w:val="0027115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25E1"/>
    <w:rPr>
      <w:color w:val="800080" w:themeColor="followedHyperlink"/>
      <w:u w:val="single"/>
    </w:rPr>
  </w:style>
  <w:style w:type="paragraph" w:customStyle="1" w:styleId="Sub-articlenumbered">
    <w:name w:val="Sub-article numbered"/>
    <w:basedOn w:val="ListParagraph"/>
    <w:qFormat/>
    <w:rsid w:val="00F54108"/>
    <w:pPr>
      <w:spacing w:before="240" w:after="240" w:line="259" w:lineRule="auto"/>
      <w:ind w:left="502" w:hanging="360"/>
    </w:pPr>
    <w:rPr>
      <w:rFonts w:asciiTheme="minorHAnsi" w:eastAsiaTheme="minorHAnsi" w:hAnsiTheme="minorHAnsi" w:cstheme="minorBidi"/>
      <w:lang w:val="fi-FI"/>
    </w:rPr>
  </w:style>
  <w:style w:type="paragraph" w:styleId="FootnoteText">
    <w:name w:val="footnote text"/>
    <w:basedOn w:val="Normal"/>
    <w:link w:val="FootnoteTextChar"/>
    <w:uiPriority w:val="99"/>
    <w:semiHidden/>
    <w:unhideWhenUsed/>
    <w:rsid w:val="00F47444"/>
    <w:rPr>
      <w:sz w:val="20"/>
      <w:szCs w:val="20"/>
    </w:rPr>
  </w:style>
  <w:style w:type="character" w:customStyle="1" w:styleId="FootnoteTextChar">
    <w:name w:val="Footnote Text Char"/>
    <w:basedOn w:val="DefaultParagraphFont"/>
    <w:link w:val="FootnoteText"/>
    <w:uiPriority w:val="99"/>
    <w:semiHidden/>
    <w:rsid w:val="00F47444"/>
    <w:rPr>
      <w:sz w:val="20"/>
      <w:szCs w:val="20"/>
      <w:lang w:val="en-GB"/>
    </w:rPr>
  </w:style>
  <w:style w:type="character" w:styleId="FootnoteReference">
    <w:name w:val="footnote reference"/>
    <w:basedOn w:val="DefaultParagraphFont"/>
    <w:uiPriority w:val="99"/>
    <w:semiHidden/>
    <w:unhideWhenUsed/>
    <w:rsid w:val="00F47444"/>
    <w:rPr>
      <w:vertAlign w:val="superscript"/>
    </w:rPr>
  </w:style>
  <w:style w:type="paragraph" w:styleId="Revision">
    <w:name w:val="Revision"/>
    <w:hidden/>
    <w:uiPriority w:val="99"/>
    <w:semiHidden/>
    <w:rsid w:val="003953B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6042">
      <w:bodyDiv w:val="1"/>
      <w:marLeft w:val="0"/>
      <w:marRight w:val="0"/>
      <w:marTop w:val="0"/>
      <w:marBottom w:val="0"/>
      <w:divBdr>
        <w:top w:val="none" w:sz="0" w:space="0" w:color="auto"/>
        <w:left w:val="none" w:sz="0" w:space="0" w:color="auto"/>
        <w:bottom w:val="none" w:sz="0" w:space="0" w:color="auto"/>
        <w:right w:val="none" w:sz="0" w:space="0" w:color="auto"/>
      </w:divBdr>
    </w:div>
    <w:div w:id="230696897">
      <w:bodyDiv w:val="1"/>
      <w:marLeft w:val="0"/>
      <w:marRight w:val="0"/>
      <w:marTop w:val="0"/>
      <w:marBottom w:val="0"/>
      <w:divBdr>
        <w:top w:val="none" w:sz="0" w:space="0" w:color="auto"/>
        <w:left w:val="none" w:sz="0" w:space="0" w:color="auto"/>
        <w:bottom w:val="none" w:sz="0" w:space="0" w:color="auto"/>
        <w:right w:val="none" w:sz="0" w:space="0" w:color="auto"/>
      </w:divBdr>
    </w:div>
    <w:div w:id="540869758">
      <w:bodyDiv w:val="1"/>
      <w:marLeft w:val="0"/>
      <w:marRight w:val="0"/>
      <w:marTop w:val="0"/>
      <w:marBottom w:val="0"/>
      <w:divBdr>
        <w:top w:val="none" w:sz="0" w:space="0" w:color="auto"/>
        <w:left w:val="none" w:sz="0" w:space="0" w:color="auto"/>
        <w:bottom w:val="none" w:sz="0" w:space="0" w:color="auto"/>
        <w:right w:val="none" w:sz="0" w:space="0" w:color="auto"/>
      </w:divBdr>
      <w:divsChild>
        <w:div w:id="642004039">
          <w:marLeft w:val="0"/>
          <w:marRight w:val="0"/>
          <w:marTop w:val="0"/>
          <w:marBottom w:val="0"/>
          <w:divBdr>
            <w:top w:val="none" w:sz="0" w:space="0" w:color="auto"/>
            <w:left w:val="none" w:sz="0" w:space="0" w:color="auto"/>
            <w:bottom w:val="none" w:sz="0" w:space="0" w:color="auto"/>
            <w:right w:val="none" w:sz="0" w:space="0" w:color="auto"/>
          </w:divBdr>
          <w:divsChild>
            <w:div w:id="1110199092">
              <w:marLeft w:val="0"/>
              <w:marRight w:val="0"/>
              <w:marTop w:val="0"/>
              <w:marBottom w:val="0"/>
              <w:divBdr>
                <w:top w:val="none" w:sz="0" w:space="0" w:color="auto"/>
                <w:left w:val="none" w:sz="0" w:space="0" w:color="auto"/>
                <w:bottom w:val="none" w:sz="0" w:space="0" w:color="auto"/>
                <w:right w:val="none" w:sz="0" w:space="0" w:color="auto"/>
              </w:divBdr>
            </w:div>
            <w:div w:id="1409689185">
              <w:marLeft w:val="0"/>
              <w:marRight w:val="0"/>
              <w:marTop w:val="0"/>
              <w:marBottom w:val="0"/>
              <w:divBdr>
                <w:top w:val="none" w:sz="0" w:space="0" w:color="auto"/>
                <w:left w:val="none" w:sz="0" w:space="0" w:color="auto"/>
                <w:bottom w:val="none" w:sz="0" w:space="0" w:color="auto"/>
                <w:right w:val="none" w:sz="0" w:space="0" w:color="auto"/>
              </w:divBdr>
            </w:div>
            <w:div w:id="1926723491">
              <w:marLeft w:val="0"/>
              <w:marRight w:val="0"/>
              <w:marTop w:val="0"/>
              <w:marBottom w:val="0"/>
              <w:divBdr>
                <w:top w:val="none" w:sz="0" w:space="0" w:color="auto"/>
                <w:left w:val="none" w:sz="0" w:space="0" w:color="auto"/>
                <w:bottom w:val="none" w:sz="0" w:space="0" w:color="auto"/>
                <w:right w:val="none" w:sz="0" w:space="0" w:color="auto"/>
              </w:divBdr>
            </w:div>
            <w:div w:id="1928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404">
      <w:bodyDiv w:val="1"/>
      <w:marLeft w:val="0"/>
      <w:marRight w:val="0"/>
      <w:marTop w:val="0"/>
      <w:marBottom w:val="0"/>
      <w:divBdr>
        <w:top w:val="none" w:sz="0" w:space="0" w:color="auto"/>
        <w:left w:val="none" w:sz="0" w:space="0" w:color="auto"/>
        <w:bottom w:val="none" w:sz="0" w:space="0" w:color="auto"/>
        <w:right w:val="none" w:sz="0" w:space="0" w:color="auto"/>
      </w:divBdr>
    </w:div>
    <w:div w:id="1035036114">
      <w:bodyDiv w:val="1"/>
      <w:marLeft w:val="0"/>
      <w:marRight w:val="0"/>
      <w:marTop w:val="0"/>
      <w:marBottom w:val="0"/>
      <w:divBdr>
        <w:top w:val="none" w:sz="0" w:space="0" w:color="auto"/>
        <w:left w:val="none" w:sz="0" w:space="0" w:color="auto"/>
        <w:bottom w:val="none" w:sz="0" w:space="0" w:color="auto"/>
        <w:right w:val="none" w:sz="0" w:space="0" w:color="auto"/>
      </w:divBdr>
    </w:div>
    <w:div w:id="1182665746">
      <w:bodyDiv w:val="1"/>
      <w:marLeft w:val="0"/>
      <w:marRight w:val="0"/>
      <w:marTop w:val="0"/>
      <w:marBottom w:val="0"/>
      <w:divBdr>
        <w:top w:val="none" w:sz="0" w:space="0" w:color="auto"/>
        <w:left w:val="none" w:sz="0" w:space="0" w:color="auto"/>
        <w:bottom w:val="none" w:sz="0" w:space="0" w:color="auto"/>
        <w:right w:val="none" w:sz="0" w:space="0" w:color="auto"/>
      </w:divBdr>
    </w:div>
    <w:div w:id="1623876935">
      <w:bodyDiv w:val="1"/>
      <w:marLeft w:val="0"/>
      <w:marRight w:val="0"/>
      <w:marTop w:val="0"/>
      <w:marBottom w:val="0"/>
      <w:divBdr>
        <w:top w:val="none" w:sz="0" w:space="0" w:color="auto"/>
        <w:left w:val="none" w:sz="0" w:space="0" w:color="auto"/>
        <w:bottom w:val="none" w:sz="0" w:space="0" w:color="auto"/>
        <w:right w:val="none" w:sz="0" w:space="0" w:color="auto"/>
      </w:divBdr>
    </w:div>
    <w:div w:id="17622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vir.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92741536894253B029C2899C0106A0"/>
        <w:category>
          <w:name w:val="General"/>
          <w:gallery w:val="placeholder"/>
        </w:category>
        <w:types>
          <w:type w:val="bbPlcHdr"/>
        </w:types>
        <w:behaviors>
          <w:behavior w:val="content"/>
        </w:behaviors>
        <w:guid w:val="{6176AB6E-6191-4A58-AE6E-35920E3D0FAA}"/>
      </w:docPartPr>
      <w:docPartBody>
        <w:p w:rsidR="00922E33" w:rsidRDefault="00075DB5" w:rsidP="00075DB5">
          <w:pPr>
            <w:pStyle w:val="1492741536894253B029C2899C0106A0"/>
          </w:pPr>
          <w:r w:rsidRPr="00256312">
            <w:rPr>
              <w:rStyle w:val="PlaceholderText"/>
            </w:rPr>
            <w:t>DD Month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44"/>
    <w:rsid w:val="000120C4"/>
    <w:rsid w:val="000408CF"/>
    <w:rsid w:val="00075DB5"/>
    <w:rsid w:val="000841F4"/>
    <w:rsid w:val="00133018"/>
    <w:rsid w:val="00167B94"/>
    <w:rsid w:val="001C144A"/>
    <w:rsid w:val="001D0C44"/>
    <w:rsid w:val="00244E5E"/>
    <w:rsid w:val="002D0347"/>
    <w:rsid w:val="003D1BBC"/>
    <w:rsid w:val="003E554B"/>
    <w:rsid w:val="00420FE1"/>
    <w:rsid w:val="00557D87"/>
    <w:rsid w:val="005B1B44"/>
    <w:rsid w:val="00631567"/>
    <w:rsid w:val="006A100D"/>
    <w:rsid w:val="006B129E"/>
    <w:rsid w:val="00775DDB"/>
    <w:rsid w:val="00777719"/>
    <w:rsid w:val="007D7805"/>
    <w:rsid w:val="00821BEF"/>
    <w:rsid w:val="00825CB4"/>
    <w:rsid w:val="00886EC2"/>
    <w:rsid w:val="00891C64"/>
    <w:rsid w:val="00922E33"/>
    <w:rsid w:val="00952152"/>
    <w:rsid w:val="00A4522C"/>
    <w:rsid w:val="00A5592C"/>
    <w:rsid w:val="00B0778B"/>
    <w:rsid w:val="00B170D4"/>
    <w:rsid w:val="00C87D1F"/>
    <w:rsid w:val="00CD21C1"/>
    <w:rsid w:val="00CD4C2F"/>
    <w:rsid w:val="00CD640F"/>
    <w:rsid w:val="00DB13BD"/>
    <w:rsid w:val="00E307CF"/>
    <w:rsid w:val="00EA3383"/>
    <w:rsid w:val="00EE4710"/>
    <w:rsid w:val="00F20F89"/>
    <w:rsid w:val="00F33C82"/>
    <w:rsid w:val="00F46071"/>
    <w:rsid w:val="00F7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DB5"/>
    <w:rPr>
      <w:color w:val="808080"/>
    </w:rPr>
  </w:style>
  <w:style w:type="paragraph" w:customStyle="1" w:styleId="84F76F9AF1384327A6F44847B1E6D309">
    <w:name w:val="84F76F9AF1384327A6F44847B1E6D309"/>
  </w:style>
  <w:style w:type="paragraph" w:customStyle="1" w:styleId="AB92B409888941DC844B87BC6E5F0D11">
    <w:name w:val="AB92B409888941DC844B87BC6E5F0D11"/>
  </w:style>
  <w:style w:type="paragraph" w:customStyle="1" w:styleId="55E45C0216454450B7007C0339A8B0EA">
    <w:name w:val="55E45C0216454450B7007C0339A8B0EA"/>
    <w:rsid w:val="00075DB5"/>
  </w:style>
  <w:style w:type="paragraph" w:customStyle="1" w:styleId="8EBE1AAFD62A40D3854ED7A6E5E3FA5D">
    <w:name w:val="8EBE1AAFD62A40D3854ED7A6E5E3FA5D"/>
    <w:rsid w:val="00075DB5"/>
  </w:style>
  <w:style w:type="paragraph" w:customStyle="1" w:styleId="76C086122F3D4A2C80198AC32BF12F31">
    <w:name w:val="76C086122F3D4A2C80198AC32BF12F31"/>
    <w:rsid w:val="00075DB5"/>
  </w:style>
  <w:style w:type="paragraph" w:customStyle="1" w:styleId="466A6FD2E40144F7857F0B041CB3B1E8">
    <w:name w:val="466A6FD2E40144F7857F0B041CB3B1E8"/>
    <w:rsid w:val="00075DB5"/>
  </w:style>
  <w:style w:type="paragraph" w:customStyle="1" w:styleId="EC8423B32C29422081681FA8AFB9FB2C">
    <w:name w:val="EC8423B32C29422081681FA8AFB9FB2C"/>
    <w:rsid w:val="00075DB5"/>
  </w:style>
  <w:style w:type="paragraph" w:customStyle="1" w:styleId="E9C7E6BBFD7D41CE992B9DBDB2400404">
    <w:name w:val="E9C7E6BBFD7D41CE992B9DBDB2400404"/>
    <w:rsid w:val="00075DB5"/>
  </w:style>
  <w:style w:type="paragraph" w:customStyle="1" w:styleId="1492741536894253B029C2899C0106A0">
    <w:name w:val="1492741536894253B029C2899C0106A0"/>
    <w:rsid w:val="00075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Entsoe">
      <a:dk1>
        <a:sysClr val="windowText" lastClr="000000"/>
      </a:dk1>
      <a:lt1>
        <a:sysClr val="window" lastClr="FFFFFF"/>
      </a:lt1>
      <a:dk2>
        <a:srgbClr val="23236E"/>
      </a:dk2>
      <a:lt2>
        <a:srgbClr val="636466"/>
      </a:lt2>
      <a:accent1>
        <a:srgbClr val="585C9F"/>
      </a:accent1>
      <a:accent2>
        <a:srgbClr val="797BB7"/>
      </a:accent2>
      <a:accent3>
        <a:srgbClr val="7F5A9B"/>
      </a:accent3>
      <a:accent4>
        <a:srgbClr val="B4B4C8"/>
      </a:accent4>
      <a:accent5>
        <a:srgbClr val="487BB4"/>
      </a:accent5>
      <a:accent6>
        <a:srgbClr val="9EBF57"/>
      </a:accent6>
      <a:hlink>
        <a:srgbClr val="0000FF"/>
      </a:hlink>
      <a:folHlink>
        <a:srgbClr val="800080"/>
      </a:folHlink>
    </a:clrScheme>
    <a:fontScheme name="Entsoe">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E647B7AC3E4297F5DF477A8D3025" ma:contentTypeVersion="0" ma:contentTypeDescription="Create a new document." ma:contentTypeScope="" ma:versionID="1916f79cd17f5116fb5ced5c4a6a34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B4169-85AA-42D6-BCB9-9719DB55F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BF1E95-1986-424C-8BF1-60E4A690D4C3}">
  <ds:schemaRefs>
    <ds:schemaRef ds:uri="http://schemas.microsoft.com/sharepoint/v3/contenttype/forms"/>
  </ds:schemaRefs>
</ds:datastoreItem>
</file>

<file path=customXml/itemProps3.xml><?xml version="1.0" encoding="utf-8"?>
<ds:datastoreItem xmlns:ds="http://schemas.openxmlformats.org/officeDocument/2006/customXml" ds:itemID="{D5563291-A085-4219-8458-90D96D699F0C}">
  <ds:schemaRef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EAFE06F-EF1E-4330-881C-BEC54582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13566</Characters>
  <Application>Microsoft Office Word</Application>
  <DocSecurity>0</DocSecurity>
  <Lines>113</Lines>
  <Paragraphs>31</Paragraphs>
  <ScaleCrop>false</ScaleCrop>
  <HeadingPairs>
    <vt:vector size="6" baseType="variant">
      <vt:variant>
        <vt:lpstr>Title</vt:lpstr>
      </vt:variant>
      <vt:variant>
        <vt:i4>1</vt:i4>
      </vt:variant>
      <vt:variant>
        <vt:lpstr>Cím</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Axiotime Translations Srl</dc:creator>
  <cp:lastModifiedBy>Paul</cp:lastModifiedBy>
  <cp:revision>2</cp:revision>
  <dcterms:created xsi:type="dcterms:W3CDTF">2017-10-18T11:05:00Z</dcterms:created>
  <dcterms:modified xsi:type="dcterms:W3CDTF">2017-10-18T11:05:00Z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Project">
    <vt:lpwstr>HAR</vt:lpwstr>
  </property>
  <property fmtid="{D5CDD505-2E9C-101B-9397-08002B2CF9AE}" pid="5" name="RESPONSE_SENDER_NAME">
    <vt:lpwstr>gAAAdya76B99d4hLGUR1rQ+8TxTv0GGEPdix</vt:lpwstr>
  </property>
  <property fmtid="{D5CDD505-2E9C-101B-9397-08002B2CF9AE}" pid="6" name="b">
    <vt:lpwstr/>
  </property>
  <property fmtid="{D5CDD505-2E9C-101B-9397-08002B2CF9AE}" pid="7" name="EMAIL_OWNER_ADDRESS">
    <vt:lpwstr>ABAAgoCixPcRe8nRPtFp8faWM+/LRRoMcWtFbczVsIxOLMTytqbzB/Z8WwLsw3RwSOOv</vt:lpwstr>
  </property>
  <property fmtid="{D5CDD505-2E9C-101B-9397-08002B2CF9AE}" pid="8" name="ContentTypeId">
    <vt:lpwstr>0x010100D8F7E647B7AC3E4297F5DF477A8D3025</vt:lpwstr>
  </property>
  <property fmtid="{D5CDD505-2E9C-101B-9397-08002B2CF9AE}" pid="9" name="m21e1f176c4a4ad491d679d83442a8a3">
    <vt:lpwstr/>
  </property>
  <property fmtid="{D5CDD505-2E9C-101B-9397-08002B2CF9AE}" pid="10" name="MAIL_MSG_ID1">
    <vt:lpwstr>aCAABhMWmzrCt9158Rmt51G9CrO4+uL55r15EY56B/w0q/3oFNfRYe5xV4eKJ/AepI/vG1KA8AqAdx4j
sC6YV+PSXvHcUhazSCJO+uU4zQOebKEZsAntnrqLDobSqsQ48z8c9Mldo7nDKvhbNT+SCYzgeA==</vt:lpwstr>
  </property>
</Properties>
</file>