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64437" w14:textId="0B43C58A" w:rsidR="004618B6" w:rsidRPr="0090445E" w:rsidRDefault="004618B6" w:rsidP="0061277E">
      <w:pPr>
        <w:ind w:right="-613"/>
        <w:rPr>
          <w:rFonts w:ascii="Arial" w:hAnsi="Arial" w:cs="Arial"/>
          <w:lang w:val="en-GB"/>
        </w:rPr>
      </w:pPr>
    </w:p>
    <w:p w14:paraId="41FE00C5" w14:textId="77777777" w:rsidR="00AD2204" w:rsidRPr="0090445E" w:rsidRDefault="00AD2204" w:rsidP="0061277E">
      <w:pPr>
        <w:ind w:right="-613"/>
        <w:rPr>
          <w:rFonts w:ascii="Arial" w:hAnsi="Arial" w:cs="Arial"/>
          <w:lang w:val="en-GB"/>
        </w:rPr>
      </w:pPr>
    </w:p>
    <w:p w14:paraId="1D764438" w14:textId="77777777" w:rsidR="00261D94" w:rsidRPr="0090445E" w:rsidRDefault="00261D94" w:rsidP="0061277E">
      <w:pPr>
        <w:ind w:right="-613"/>
        <w:rPr>
          <w:rFonts w:ascii="Arial" w:hAnsi="Arial" w:cs="Arial"/>
          <w:lang w:val="en-GB"/>
        </w:rPr>
      </w:pPr>
    </w:p>
    <w:p w14:paraId="1D764439" w14:textId="77777777" w:rsidR="00261D94" w:rsidRPr="0090445E" w:rsidRDefault="00261D94" w:rsidP="0061277E">
      <w:pPr>
        <w:ind w:right="-613"/>
        <w:rPr>
          <w:rFonts w:ascii="Arial" w:hAnsi="Arial" w:cs="Arial"/>
          <w:lang w:val="en-GB"/>
        </w:rPr>
      </w:pPr>
    </w:p>
    <w:p w14:paraId="1D76443A" w14:textId="77777777" w:rsidR="009F45F3" w:rsidRPr="0090445E" w:rsidRDefault="009F45F3" w:rsidP="0061277E">
      <w:pPr>
        <w:pStyle w:val="NoSpacing"/>
        <w:spacing w:line="276" w:lineRule="auto"/>
        <w:rPr>
          <w:rFonts w:ascii="Arial" w:hAnsi="Arial" w:cs="Arial"/>
          <w:sz w:val="24"/>
          <w:szCs w:val="24"/>
          <w:lang w:val="en-GB"/>
        </w:rPr>
      </w:pPr>
    </w:p>
    <w:p w14:paraId="316DDFAC" w14:textId="54F1E1ED" w:rsidR="00581E57" w:rsidRPr="0090445E" w:rsidRDefault="00963263" w:rsidP="00581E57">
      <w:pPr>
        <w:spacing w:after="0"/>
        <w:jc w:val="center"/>
        <w:rPr>
          <w:rFonts w:ascii="Arial" w:hAnsi="Arial" w:cs="Arial"/>
          <w:b/>
          <w:i/>
          <w:lang w:val="en-GB"/>
        </w:rPr>
      </w:pPr>
      <w:r w:rsidRPr="0090445E">
        <w:rPr>
          <w:rFonts w:ascii="Arial" w:hAnsi="Arial" w:cs="Arial"/>
          <w:b/>
          <w:i/>
          <w:lang w:val="en-GB"/>
        </w:rPr>
        <w:t>Derogation r</w:t>
      </w:r>
      <w:r w:rsidR="00581E57" w:rsidRPr="0090445E">
        <w:rPr>
          <w:rFonts w:ascii="Arial" w:hAnsi="Arial" w:cs="Arial"/>
          <w:b/>
          <w:i/>
          <w:lang w:val="en-GB"/>
        </w:rPr>
        <w:t xml:space="preserve">equest of Transelectrica SA from the obligation under Article 16(8) pursuant to Article 16(9) of Regulation (EU) 2019/943 of </w:t>
      </w:r>
      <w:r w:rsidRPr="0090445E">
        <w:rPr>
          <w:rFonts w:ascii="Arial" w:hAnsi="Arial" w:cs="Arial"/>
          <w:b/>
          <w:i/>
          <w:lang w:val="en-GB"/>
        </w:rPr>
        <w:t xml:space="preserve">the European Parliament and of the Council of </w:t>
      </w:r>
      <w:r w:rsidR="00581E57" w:rsidRPr="0090445E">
        <w:rPr>
          <w:rFonts w:ascii="Arial" w:hAnsi="Arial" w:cs="Arial"/>
          <w:b/>
          <w:i/>
          <w:lang w:val="en-GB"/>
        </w:rPr>
        <w:t>5 June 2019 on the internal market for electricity for the</w:t>
      </w:r>
      <w:r w:rsidR="005E4E24" w:rsidRPr="0090445E">
        <w:rPr>
          <w:rFonts w:ascii="Arial" w:hAnsi="Arial" w:cs="Arial"/>
          <w:b/>
          <w:i/>
          <w:lang w:val="en-GB"/>
        </w:rPr>
        <w:t xml:space="preserve"> Core</w:t>
      </w:r>
      <w:r w:rsidR="00581E57" w:rsidRPr="0090445E">
        <w:rPr>
          <w:rFonts w:ascii="Arial" w:hAnsi="Arial" w:cs="Arial"/>
          <w:b/>
          <w:i/>
          <w:lang w:val="en-GB"/>
        </w:rPr>
        <w:t xml:space="preserve"> </w:t>
      </w:r>
      <w:r w:rsidR="00FB517C" w:rsidRPr="0090445E">
        <w:rPr>
          <w:rFonts w:ascii="Arial" w:hAnsi="Arial" w:cs="Arial"/>
          <w:b/>
          <w:i/>
          <w:lang w:val="en-GB"/>
        </w:rPr>
        <w:t xml:space="preserve">and SEE </w:t>
      </w:r>
      <w:r w:rsidR="00581E57" w:rsidRPr="0090445E">
        <w:rPr>
          <w:rFonts w:ascii="Arial" w:hAnsi="Arial" w:cs="Arial"/>
          <w:b/>
          <w:i/>
          <w:lang w:val="en-GB"/>
        </w:rPr>
        <w:t>Capacity Calculation Region</w:t>
      </w:r>
      <w:r w:rsidR="00FB517C" w:rsidRPr="0090445E">
        <w:rPr>
          <w:rFonts w:ascii="Arial" w:hAnsi="Arial" w:cs="Arial"/>
          <w:b/>
          <w:i/>
          <w:lang w:val="en-GB"/>
        </w:rPr>
        <w:t>s</w:t>
      </w:r>
    </w:p>
    <w:p w14:paraId="2C9A7AA7" w14:textId="77777777" w:rsidR="00581E57" w:rsidRPr="0090445E" w:rsidRDefault="00581E57" w:rsidP="00581E57">
      <w:pPr>
        <w:spacing w:after="0"/>
        <w:jc w:val="center"/>
        <w:rPr>
          <w:rFonts w:ascii="Arial" w:hAnsi="Arial" w:cs="Arial"/>
          <w:b/>
          <w:i/>
          <w:lang w:val="en-GB"/>
        </w:rPr>
      </w:pPr>
    </w:p>
    <w:p w14:paraId="1D764445" w14:textId="28EB8BA4" w:rsidR="00B33F45" w:rsidRPr="0090445E" w:rsidRDefault="00B33F45" w:rsidP="00B33F45">
      <w:pPr>
        <w:spacing w:after="0"/>
        <w:rPr>
          <w:rFonts w:ascii="Arial" w:hAnsi="Arial" w:cs="Arial"/>
          <w:lang w:val="en-GB"/>
        </w:rPr>
      </w:pPr>
    </w:p>
    <w:p w14:paraId="125E697F" w14:textId="2364D6C1" w:rsidR="00E63850" w:rsidRPr="0090445E" w:rsidRDefault="00751AF7" w:rsidP="00B33F45">
      <w:pPr>
        <w:spacing w:after="0"/>
        <w:ind w:firstLine="709"/>
        <w:jc w:val="both"/>
        <w:rPr>
          <w:rFonts w:ascii="Arial" w:eastAsia="Calibri" w:hAnsi="Arial" w:cs="Arial"/>
          <w:b/>
          <w:lang w:val="en-GB" w:eastAsia="en-GB" w:bidi="ar-SA"/>
        </w:rPr>
      </w:pPr>
      <w:r w:rsidRPr="0090445E">
        <w:rPr>
          <w:rFonts w:ascii="Arial" w:eastAsia="Calibri" w:hAnsi="Arial" w:cs="Arial"/>
          <w:b/>
          <w:lang w:val="en-GB" w:eastAsia="en-GB" w:bidi="ar-SA"/>
        </w:rPr>
        <w:t>Introduction</w:t>
      </w:r>
    </w:p>
    <w:p w14:paraId="1D764447" w14:textId="6C023C1F" w:rsidR="00B33F45" w:rsidRPr="0090445E" w:rsidRDefault="00B33F45" w:rsidP="00B33F45">
      <w:pPr>
        <w:spacing w:after="0"/>
        <w:ind w:firstLine="709"/>
        <w:jc w:val="both"/>
        <w:rPr>
          <w:rFonts w:ascii="Arial" w:eastAsia="Calibri" w:hAnsi="Arial" w:cs="Arial"/>
          <w:lang w:val="en-GB" w:eastAsia="en-GB" w:bidi="ar-SA"/>
        </w:rPr>
      </w:pPr>
    </w:p>
    <w:p w14:paraId="53F179B8" w14:textId="3A453DCC" w:rsidR="004B0BD6" w:rsidRPr="0090445E" w:rsidRDefault="00751AF7" w:rsidP="000128D2">
      <w:pPr>
        <w:spacing w:after="0"/>
        <w:jc w:val="both"/>
        <w:rPr>
          <w:rFonts w:ascii="Arial" w:eastAsia="Calibri" w:hAnsi="Arial" w:cs="Arial"/>
          <w:lang w:val="en-GB" w:eastAsia="en-GB" w:bidi="ar-SA"/>
        </w:rPr>
      </w:pPr>
      <w:r w:rsidRPr="0090445E">
        <w:rPr>
          <w:rFonts w:ascii="Arial" w:eastAsia="Calibri" w:hAnsi="Arial" w:cs="Arial"/>
          <w:lang w:val="en-GB" w:eastAsia="en-GB" w:bidi="ar-SA"/>
        </w:rPr>
        <w:t xml:space="preserve">(1) </w:t>
      </w:r>
      <w:r w:rsidR="004B0BD6" w:rsidRPr="0090445E">
        <w:rPr>
          <w:rFonts w:ascii="Arial" w:eastAsia="Calibri" w:hAnsi="Arial" w:cs="Arial"/>
          <w:lang w:val="en-GB" w:eastAsia="en-GB" w:bidi="ar-SA"/>
        </w:rPr>
        <w:t xml:space="preserve">In accordance with Article 16(8) of the Regulation (EU) 2019/943 </w:t>
      </w:r>
      <w:r w:rsidR="000128D2" w:rsidRPr="0090445E">
        <w:rPr>
          <w:rFonts w:ascii="Arial" w:eastAsia="Calibri" w:hAnsi="Arial" w:cs="Arial"/>
          <w:lang w:val="en-GB" w:eastAsia="en-GB" w:bidi="ar-SA"/>
        </w:rPr>
        <w:t>of the European</w:t>
      </w:r>
      <w:r w:rsidR="004C2DF9" w:rsidRPr="0090445E">
        <w:rPr>
          <w:rFonts w:ascii="Arial" w:eastAsia="Calibri" w:hAnsi="Arial" w:cs="Arial"/>
          <w:lang w:val="en-GB" w:eastAsia="en-GB" w:bidi="ar-SA"/>
        </w:rPr>
        <w:t xml:space="preserve"> </w:t>
      </w:r>
      <w:r w:rsidR="000128D2" w:rsidRPr="0090445E">
        <w:rPr>
          <w:rFonts w:ascii="Arial" w:eastAsia="Calibri" w:hAnsi="Arial" w:cs="Arial"/>
          <w:lang w:val="en-GB" w:eastAsia="en-GB" w:bidi="ar-SA"/>
        </w:rPr>
        <w:t xml:space="preserve">Parliament and of the Council of 5 June 2019 on the internal market for electricity (“Regulation 2019/943”) </w:t>
      </w:r>
      <w:r w:rsidR="004B0BD6" w:rsidRPr="0090445E">
        <w:rPr>
          <w:rFonts w:ascii="Arial" w:eastAsia="Calibri" w:hAnsi="Arial" w:cs="Arial"/>
          <w:lang w:val="en-GB" w:eastAsia="en-GB" w:bidi="ar-SA"/>
        </w:rPr>
        <w:t>the transmission system operators shall not limit the volume of interconnection capacity to be made available to market participants as a means of solving congestion inside their own bidding zone or a</w:t>
      </w:r>
      <w:r w:rsidR="0058594D" w:rsidRPr="0090445E">
        <w:rPr>
          <w:rFonts w:ascii="Arial" w:eastAsia="Calibri" w:hAnsi="Arial" w:cs="Arial"/>
          <w:lang w:val="en-GB" w:eastAsia="en-GB" w:bidi="ar-SA"/>
        </w:rPr>
        <w:t>s</w:t>
      </w:r>
      <w:r w:rsidR="004B0BD6" w:rsidRPr="0090445E">
        <w:rPr>
          <w:rFonts w:ascii="Arial" w:eastAsia="Calibri" w:hAnsi="Arial" w:cs="Arial"/>
          <w:lang w:val="en-GB" w:eastAsia="en-GB" w:bidi="ar-SA"/>
        </w:rPr>
        <w:t xml:space="preserve"> a means of managing flows resulting from transactions </w:t>
      </w:r>
      <w:r w:rsidR="00B935D9" w:rsidRPr="0090445E">
        <w:rPr>
          <w:rFonts w:ascii="Arial" w:eastAsia="Calibri" w:hAnsi="Arial" w:cs="Arial"/>
          <w:lang w:val="en-GB" w:eastAsia="en-GB" w:bidi="ar-SA"/>
        </w:rPr>
        <w:t>internal to bidding zones. The minimum levels of available capacity for cross-zonal trade are reached:</w:t>
      </w:r>
    </w:p>
    <w:p w14:paraId="160AA8D7" w14:textId="54B8254F" w:rsidR="00B935D9" w:rsidRPr="0090445E" w:rsidRDefault="0015468D" w:rsidP="00E13710">
      <w:pPr>
        <w:spacing w:after="0"/>
        <w:ind w:left="709"/>
        <w:jc w:val="both"/>
        <w:rPr>
          <w:rFonts w:ascii="Arial" w:hAnsi="Arial" w:cs="Arial"/>
          <w:lang w:val="en-GB"/>
        </w:rPr>
      </w:pPr>
      <w:r w:rsidRPr="0090445E">
        <w:rPr>
          <w:rFonts w:ascii="Arial" w:hAnsi="Arial" w:cs="Arial"/>
          <w:lang w:val="en-GB"/>
        </w:rPr>
        <w:t xml:space="preserve">(a) </w:t>
      </w:r>
      <w:r w:rsidR="00B935D9" w:rsidRPr="0090445E">
        <w:rPr>
          <w:rFonts w:ascii="Arial" w:hAnsi="Arial" w:cs="Arial"/>
          <w:lang w:val="en-GB"/>
        </w:rPr>
        <w:t>for borders using a coordinated net transmission capacity approach, the minimum capacity shall be 70% of the transmission capacity respecting operational security limits after deduction of contingencies</w:t>
      </w:r>
      <w:r w:rsidR="00E23E9D" w:rsidRPr="0090445E">
        <w:rPr>
          <w:rFonts w:ascii="Arial" w:hAnsi="Arial" w:cs="Arial"/>
          <w:lang w:val="en-GB"/>
        </w:rPr>
        <w:t>. This is</w:t>
      </w:r>
      <w:r w:rsidR="00B935D9" w:rsidRPr="0090445E">
        <w:rPr>
          <w:rFonts w:ascii="Arial" w:hAnsi="Arial" w:cs="Arial"/>
          <w:lang w:val="en-GB"/>
        </w:rPr>
        <w:t xml:space="preserve"> determined in accordance with the capacity allocation and congestion management guideline adopted </w:t>
      </w:r>
      <w:r w:rsidR="002C544B" w:rsidRPr="0090445E">
        <w:rPr>
          <w:rFonts w:ascii="Arial" w:hAnsi="Arial" w:cs="Arial"/>
          <w:lang w:val="en-GB"/>
        </w:rPr>
        <w:t xml:space="preserve">on the basis of Article 18(5) of Regulation </w:t>
      </w:r>
      <w:r w:rsidR="00E13710" w:rsidRPr="0090445E">
        <w:rPr>
          <w:rFonts w:ascii="Arial" w:hAnsi="Arial" w:cs="Arial"/>
          <w:lang w:val="en-GB"/>
        </w:rPr>
        <w:t>2009/714 (EC) of the European Parliament and of the Council of 13 July 2009 on conditions for access to the network for cross-border exchanges in electricity and repealing Regulation (“Regulation 2009/714”)</w:t>
      </w:r>
      <w:r w:rsidR="002C544B" w:rsidRPr="0090445E">
        <w:rPr>
          <w:rFonts w:ascii="Arial" w:hAnsi="Arial" w:cs="Arial"/>
          <w:lang w:val="en-GB"/>
        </w:rPr>
        <w:t>;</w:t>
      </w:r>
    </w:p>
    <w:p w14:paraId="18B2AC7F" w14:textId="2DAC4554" w:rsidR="002C544B" w:rsidRPr="0090445E" w:rsidRDefault="0015468D" w:rsidP="00B758B6">
      <w:pPr>
        <w:spacing w:after="120"/>
        <w:ind w:left="709"/>
        <w:jc w:val="both"/>
        <w:rPr>
          <w:rFonts w:ascii="Arial" w:hAnsi="Arial" w:cs="Arial"/>
          <w:lang w:val="en-GB"/>
        </w:rPr>
      </w:pPr>
      <w:r w:rsidRPr="0090445E">
        <w:rPr>
          <w:rFonts w:ascii="Arial" w:hAnsi="Arial" w:cs="Arial"/>
          <w:lang w:val="en-GB"/>
        </w:rPr>
        <w:t xml:space="preserve">(b) </w:t>
      </w:r>
      <w:r w:rsidR="002C544B" w:rsidRPr="0090445E">
        <w:rPr>
          <w:rFonts w:ascii="Arial" w:hAnsi="Arial" w:cs="Arial"/>
          <w:lang w:val="en-GB"/>
        </w:rPr>
        <w:t>for borders using a flow-based approach, the minimum capacity shall be a margin set in the capacity calculation process available for flows induced by cross-zonal exchange. The margin shall be 70% of the capacity respecting operational security limits of internal and cross-zonal critical network elements, taking into account contingencies, as determined in accordance with the capacity allocation and congestion management guideline adopted on the basis of Article 18(5) of Regulation (EC) no. 2009</w:t>
      </w:r>
      <w:r w:rsidR="00652486" w:rsidRPr="0090445E">
        <w:rPr>
          <w:rFonts w:ascii="Arial" w:hAnsi="Arial" w:cs="Arial"/>
          <w:lang w:val="en-GB"/>
        </w:rPr>
        <w:t>/714</w:t>
      </w:r>
      <w:r w:rsidR="000620FB" w:rsidRPr="0090445E">
        <w:rPr>
          <w:rFonts w:ascii="Arial" w:hAnsi="Arial" w:cs="Arial"/>
          <w:lang w:val="en-GB"/>
        </w:rPr>
        <w:t>.</w:t>
      </w:r>
    </w:p>
    <w:p w14:paraId="700F3A67" w14:textId="69C5A0D3" w:rsidR="000620FB" w:rsidRPr="0090445E" w:rsidRDefault="00B758B6" w:rsidP="00174FF7">
      <w:pPr>
        <w:spacing w:after="120"/>
        <w:jc w:val="both"/>
        <w:rPr>
          <w:rFonts w:ascii="Arial" w:hAnsi="Arial" w:cs="Arial"/>
          <w:lang w:val="en-GB"/>
        </w:rPr>
      </w:pPr>
      <w:r w:rsidRPr="0090445E">
        <w:rPr>
          <w:rFonts w:ascii="Arial" w:hAnsi="Arial" w:cs="Arial"/>
          <w:lang w:val="en-GB"/>
        </w:rPr>
        <w:t xml:space="preserve">(2) </w:t>
      </w:r>
      <w:r w:rsidR="000620FB" w:rsidRPr="0090445E">
        <w:rPr>
          <w:rFonts w:ascii="Arial" w:hAnsi="Arial" w:cs="Arial"/>
          <w:lang w:val="en-GB"/>
        </w:rPr>
        <w:t xml:space="preserve">However, in case a transmission system operator cannot comply with the minimum capacity </w:t>
      </w:r>
      <w:r w:rsidR="00BA3FF8" w:rsidRPr="0090445E">
        <w:rPr>
          <w:rFonts w:ascii="Arial" w:hAnsi="Arial" w:cs="Arial"/>
          <w:lang w:val="en-GB"/>
        </w:rPr>
        <w:t xml:space="preserve">of 70% to be made available </w:t>
      </w:r>
      <w:r w:rsidR="000620FB" w:rsidRPr="0090445E">
        <w:rPr>
          <w:rFonts w:ascii="Arial" w:hAnsi="Arial" w:cs="Arial"/>
          <w:lang w:val="en-GB"/>
        </w:rPr>
        <w:t xml:space="preserve">for cross-zonal trade due to operational security risks on foreseeable grounds, such transmission system operator may request from the relevant regulatory authorities a derogation from Article 16(8) of the Regulation 2019/943. The extent of such derogations shall be strictly limited to what is necessary to maintain operational security and they shall avoid discrimination between </w:t>
      </w:r>
      <w:r w:rsidR="003E4873" w:rsidRPr="0090445E">
        <w:rPr>
          <w:rFonts w:ascii="Arial" w:hAnsi="Arial" w:cs="Arial"/>
          <w:lang w:val="en-GB"/>
        </w:rPr>
        <w:t>internal and cross-zonal exchanges. Before granting a derogation, the relevant regulatory authority shall consult the regulatory authorities of the other Member States forming part of the affected capacity calculation region</w:t>
      </w:r>
      <w:r w:rsidR="0070226B" w:rsidRPr="0090445E">
        <w:rPr>
          <w:rFonts w:ascii="Arial" w:hAnsi="Arial" w:cs="Arial"/>
          <w:lang w:val="en-GB"/>
        </w:rPr>
        <w:t>s</w:t>
      </w:r>
      <w:r w:rsidR="003E4873" w:rsidRPr="0090445E">
        <w:rPr>
          <w:rFonts w:ascii="Arial" w:hAnsi="Arial" w:cs="Arial"/>
          <w:lang w:val="en-GB"/>
        </w:rPr>
        <w:t xml:space="preserve">. In absence of </w:t>
      </w:r>
      <w:r w:rsidR="00D56513" w:rsidRPr="0090445E">
        <w:rPr>
          <w:rFonts w:ascii="Arial" w:hAnsi="Arial" w:cs="Arial"/>
          <w:lang w:val="en-GB"/>
        </w:rPr>
        <w:t>a</w:t>
      </w:r>
      <w:r w:rsidR="003E4873" w:rsidRPr="0090445E">
        <w:rPr>
          <w:rFonts w:ascii="Arial" w:hAnsi="Arial" w:cs="Arial"/>
          <w:lang w:val="en-GB"/>
        </w:rPr>
        <w:t xml:space="preserve"> unanimous decision by the regulatory authorities such decision is incumbent upon ACER.</w:t>
      </w:r>
      <w:r w:rsidR="000620FB" w:rsidRPr="0090445E">
        <w:rPr>
          <w:rFonts w:ascii="Arial" w:hAnsi="Arial" w:cs="Arial"/>
          <w:lang w:val="en-GB"/>
        </w:rPr>
        <w:t xml:space="preserve">  </w:t>
      </w:r>
    </w:p>
    <w:p w14:paraId="5F3DE94E" w14:textId="0A3B06C9" w:rsidR="00B758B6" w:rsidRPr="0090445E" w:rsidRDefault="00B758B6" w:rsidP="00174FF7">
      <w:pPr>
        <w:spacing w:after="120"/>
        <w:jc w:val="both"/>
        <w:rPr>
          <w:rFonts w:ascii="Arial" w:hAnsi="Arial" w:cs="Arial"/>
          <w:lang w:val="en-GB"/>
        </w:rPr>
      </w:pPr>
      <w:r w:rsidRPr="0090445E">
        <w:rPr>
          <w:rFonts w:ascii="Arial" w:hAnsi="Arial" w:cs="Arial"/>
          <w:lang w:val="en-GB"/>
        </w:rPr>
        <w:lastRenderedPageBreak/>
        <w:t>(3) ACER issued a Recommendation (No. 01/2019), published on 9 August 2019, describing a</w:t>
      </w:r>
      <w:r w:rsidR="00F53418" w:rsidRPr="0090445E">
        <w:rPr>
          <w:rFonts w:ascii="Arial" w:hAnsi="Arial" w:cs="Arial"/>
          <w:lang w:val="en-GB"/>
        </w:rPr>
        <w:t>n</w:t>
      </w:r>
      <w:r w:rsidR="00EF5870" w:rsidRPr="0090445E">
        <w:rPr>
          <w:rFonts w:ascii="Arial" w:hAnsi="Arial" w:cs="Arial"/>
          <w:lang w:val="en-GB"/>
        </w:rPr>
        <w:t xml:space="preserve"> </w:t>
      </w:r>
      <w:r w:rsidRPr="0090445E">
        <w:rPr>
          <w:rFonts w:ascii="Arial" w:hAnsi="Arial" w:cs="Arial"/>
          <w:lang w:val="en-GB"/>
        </w:rPr>
        <w:t>unified way on how to monitor the capacities made available to the market in relation to the 70% target for all considered timeframes and all coordination areas.</w:t>
      </w:r>
    </w:p>
    <w:p w14:paraId="1EF0E208" w14:textId="57140579" w:rsidR="00C73759" w:rsidRPr="0090445E" w:rsidRDefault="00C73759" w:rsidP="00C51B11">
      <w:pPr>
        <w:widowControl w:val="0"/>
        <w:spacing w:after="120"/>
        <w:jc w:val="both"/>
        <w:rPr>
          <w:rFonts w:ascii="Arial" w:hAnsi="Arial" w:cs="Arial"/>
          <w:lang w:val="en-GB"/>
        </w:rPr>
      </w:pPr>
      <w:r w:rsidRPr="0090445E">
        <w:rPr>
          <w:rFonts w:ascii="Arial" w:hAnsi="Arial" w:cs="Arial"/>
          <w:lang w:val="en-GB"/>
        </w:rPr>
        <w:t xml:space="preserve">(4) Article 16(4) of the Regulation </w:t>
      </w:r>
      <w:r w:rsidR="003E2F08" w:rsidRPr="0090445E">
        <w:rPr>
          <w:rFonts w:ascii="Arial" w:hAnsi="Arial" w:cs="Arial"/>
          <w:lang w:val="en-GB"/>
        </w:rPr>
        <w:t xml:space="preserve">(EU) </w:t>
      </w:r>
      <w:r w:rsidRPr="0090445E">
        <w:rPr>
          <w:rFonts w:ascii="Arial" w:hAnsi="Arial" w:cs="Arial"/>
          <w:lang w:val="en-GB"/>
        </w:rPr>
        <w:t>2019/943 foresees that the maximum level of capacity shall be made available while complying with the safety standards of secure network operation and, in order to reach the minimum binding level of capacity, TSOs shall use counter-trading and redispatch, including cross-border redispatch, by using a coordinated and non-discriminatory process and following the implementation of a redispatching and counter-trading cost-sharing methodology.</w:t>
      </w:r>
    </w:p>
    <w:p w14:paraId="74CE9673" w14:textId="139D297E" w:rsidR="005E4E24" w:rsidRPr="0090445E" w:rsidRDefault="00B758B6" w:rsidP="00C51B11">
      <w:pPr>
        <w:widowControl w:val="0"/>
        <w:spacing w:after="120"/>
        <w:jc w:val="both"/>
        <w:rPr>
          <w:rFonts w:ascii="Arial" w:hAnsi="Arial" w:cs="Arial"/>
          <w:lang w:val="en-GB"/>
        </w:rPr>
      </w:pPr>
      <w:r w:rsidRPr="0090445E">
        <w:rPr>
          <w:rFonts w:ascii="Arial" w:hAnsi="Arial" w:cs="Arial"/>
          <w:lang w:val="en-GB"/>
        </w:rPr>
        <w:t>(</w:t>
      </w:r>
      <w:r w:rsidR="00C73759" w:rsidRPr="0090445E">
        <w:rPr>
          <w:rFonts w:ascii="Arial" w:hAnsi="Arial" w:cs="Arial"/>
          <w:lang w:val="en-GB"/>
        </w:rPr>
        <w:t>5</w:t>
      </w:r>
      <w:r w:rsidRPr="0090445E">
        <w:rPr>
          <w:rFonts w:ascii="Arial" w:hAnsi="Arial" w:cs="Arial"/>
          <w:lang w:val="en-GB"/>
        </w:rPr>
        <w:t xml:space="preserve">) </w:t>
      </w:r>
      <w:r w:rsidR="003E4873" w:rsidRPr="0090445E">
        <w:rPr>
          <w:rFonts w:ascii="Arial" w:hAnsi="Arial" w:cs="Arial"/>
          <w:lang w:val="en-GB"/>
        </w:rPr>
        <w:t>In accordance with the Regulation (EU) 2015/1222 of 24 July 2015 establishing a guideline on capacity allocation and congestion management</w:t>
      </w:r>
      <w:r w:rsidR="008C19CB" w:rsidRPr="0090445E">
        <w:rPr>
          <w:rFonts w:ascii="Arial" w:hAnsi="Arial" w:cs="Arial"/>
          <w:lang w:val="en-GB"/>
        </w:rPr>
        <w:t xml:space="preserve"> („Regulation (EU) 2015/1222”)</w:t>
      </w:r>
      <w:r w:rsidR="003E4873" w:rsidRPr="0090445E">
        <w:rPr>
          <w:rFonts w:ascii="Arial" w:hAnsi="Arial" w:cs="Arial"/>
          <w:lang w:val="en-GB"/>
        </w:rPr>
        <w:t xml:space="preserve"> and </w:t>
      </w:r>
      <w:r w:rsidR="008C19CB" w:rsidRPr="0090445E">
        <w:rPr>
          <w:rFonts w:ascii="Arial" w:hAnsi="Arial" w:cs="Arial"/>
          <w:lang w:val="en-GB"/>
        </w:rPr>
        <w:t xml:space="preserve">the </w:t>
      </w:r>
      <w:r w:rsidR="003E4873" w:rsidRPr="0090445E">
        <w:rPr>
          <w:rFonts w:ascii="Arial" w:hAnsi="Arial" w:cs="Arial"/>
          <w:lang w:val="en-GB"/>
        </w:rPr>
        <w:t xml:space="preserve">Regulation (EU) 2017/1485 of </w:t>
      </w:r>
      <w:r w:rsidR="000575E3" w:rsidRPr="0090445E">
        <w:rPr>
          <w:rFonts w:ascii="Arial" w:hAnsi="Arial" w:cs="Arial"/>
          <w:lang w:val="en-GB"/>
        </w:rPr>
        <w:t>02</w:t>
      </w:r>
      <w:r w:rsidR="003E4873" w:rsidRPr="0090445E">
        <w:rPr>
          <w:rFonts w:ascii="Arial" w:hAnsi="Arial" w:cs="Arial"/>
          <w:lang w:val="en-GB"/>
        </w:rPr>
        <w:t xml:space="preserve"> </w:t>
      </w:r>
      <w:r w:rsidR="000575E3" w:rsidRPr="0090445E">
        <w:rPr>
          <w:rFonts w:ascii="Arial" w:hAnsi="Arial" w:cs="Arial"/>
          <w:lang w:val="en-GB"/>
        </w:rPr>
        <w:t>August</w:t>
      </w:r>
      <w:r w:rsidR="003E4873" w:rsidRPr="0090445E">
        <w:rPr>
          <w:rFonts w:ascii="Arial" w:hAnsi="Arial" w:cs="Arial"/>
          <w:lang w:val="en-GB"/>
        </w:rPr>
        <w:t xml:space="preserve"> 201</w:t>
      </w:r>
      <w:r w:rsidR="000575E3" w:rsidRPr="0090445E">
        <w:rPr>
          <w:rFonts w:ascii="Arial" w:hAnsi="Arial" w:cs="Arial"/>
          <w:lang w:val="en-GB"/>
        </w:rPr>
        <w:t>7</w:t>
      </w:r>
      <w:r w:rsidR="003E4873" w:rsidRPr="0090445E">
        <w:rPr>
          <w:rFonts w:ascii="Arial" w:hAnsi="Arial" w:cs="Arial"/>
          <w:lang w:val="en-GB"/>
        </w:rPr>
        <w:t xml:space="preserve"> establishing a guideline on </w:t>
      </w:r>
      <w:r w:rsidR="000575E3" w:rsidRPr="0090445E">
        <w:rPr>
          <w:rFonts w:ascii="Arial" w:hAnsi="Arial" w:cs="Arial"/>
          <w:lang w:val="en-GB"/>
        </w:rPr>
        <w:t>electricity transmission system operation</w:t>
      </w:r>
      <w:r w:rsidR="008C19CB" w:rsidRPr="0090445E">
        <w:rPr>
          <w:rFonts w:ascii="Arial" w:hAnsi="Arial" w:cs="Arial"/>
          <w:lang w:val="en-GB"/>
        </w:rPr>
        <w:t xml:space="preserve"> („Regulation (EU) 2017/1485”)</w:t>
      </w:r>
      <w:r w:rsidR="000575E3" w:rsidRPr="0090445E">
        <w:rPr>
          <w:rFonts w:ascii="Arial" w:hAnsi="Arial" w:cs="Arial"/>
          <w:lang w:val="en-GB"/>
        </w:rPr>
        <w:t>, transmission system operators are required to implement methodologies on coordinated capacity calculation</w:t>
      </w:r>
      <w:r w:rsidR="009B2080" w:rsidRPr="0090445E">
        <w:rPr>
          <w:rFonts w:ascii="Arial" w:hAnsi="Arial" w:cs="Arial"/>
          <w:lang w:val="en-GB"/>
        </w:rPr>
        <w:t>,</w:t>
      </w:r>
      <w:r w:rsidR="000575E3" w:rsidRPr="0090445E">
        <w:rPr>
          <w:rFonts w:ascii="Arial" w:hAnsi="Arial" w:cs="Arial"/>
          <w:lang w:val="en-GB"/>
        </w:rPr>
        <w:t xml:space="preserve"> regional </w:t>
      </w:r>
      <w:r w:rsidR="009B2080" w:rsidRPr="0090445E">
        <w:rPr>
          <w:rFonts w:ascii="Arial" w:hAnsi="Arial" w:cs="Arial"/>
          <w:lang w:val="en-GB"/>
        </w:rPr>
        <w:t xml:space="preserve">operational </w:t>
      </w:r>
      <w:r w:rsidR="000575E3" w:rsidRPr="0090445E">
        <w:rPr>
          <w:rFonts w:ascii="Arial" w:hAnsi="Arial" w:cs="Arial"/>
          <w:lang w:val="en-GB"/>
        </w:rPr>
        <w:t xml:space="preserve">security </w:t>
      </w:r>
      <w:r w:rsidR="009B2080" w:rsidRPr="0090445E">
        <w:rPr>
          <w:rFonts w:ascii="Arial" w:hAnsi="Arial" w:cs="Arial"/>
          <w:lang w:val="en-GB"/>
        </w:rPr>
        <w:t xml:space="preserve">coordination and regional coordination of the non-costly and costly remedial actions. </w:t>
      </w:r>
    </w:p>
    <w:p w14:paraId="5E751278" w14:textId="5DB7C167" w:rsidR="00FB517C" w:rsidRPr="0090445E" w:rsidRDefault="00FB517C" w:rsidP="00C51B11">
      <w:pPr>
        <w:widowControl w:val="0"/>
        <w:spacing w:after="120"/>
        <w:jc w:val="both"/>
        <w:rPr>
          <w:rFonts w:ascii="Arial" w:hAnsi="Arial" w:cs="Arial"/>
          <w:lang w:val="en-GB"/>
        </w:rPr>
      </w:pPr>
      <w:r w:rsidRPr="0090445E">
        <w:rPr>
          <w:rFonts w:ascii="Arial" w:hAnsi="Arial" w:cs="Arial"/>
          <w:lang w:val="en-GB"/>
        </w:rPr>
        <w:t xml:space="preserve">(6) In 2021 the methodology </w:t>
      </w:r>
      <w:r w:rsidRPr="0090445E">
        <w:rPr>
          <w:rFonts w:ascii="Arial" w:eastAsia="Calibri" w:hAnsi="Arial" w:cs="Arial"/>
          <w:i/>
          <w:lang w:val="en-GB" w:eastAsia="en-GB" w:bidi="ar-SA"/>
        </w:rPr>
        <w:t>SEE CCR TSOs’</w:t>
      </w:r>
      <w:r w:rsidR="002010C2">
        <w:rPr>
          <w:rFonts w:ascii="Arial" w:eastAsia="Calibri" w:hAnsi="Arial" w:cs="Arial"/>
          <w:i/>
          <w:lang w:val="en-GB" w:eastAsia="en-GB" w:bidi="ar-SA"/>
        </w:rPr>
        <w:t xml:space="preserve"> </w:t>
      </w:r>
      <w:r w:rsidRPr="0090445E">
        <w:rPr>
          <w:rFonts w:ascii="Arial" w:eastAsia="Calibri" w:hAnsi="Arial" w:cs="Arial"/>
          <w:i/>
          <w:lang w:val="en-GB" w:eastAsia="en-GB" w:bidi="ar-SA"/>
        </w:rPr>
        <w:t xml:space="preserve">proposal for the common capacity calculation methodology for the day-ahead and intraday market time-frame </w:t>
      </w:r>
      <w:r w:rsidRPr="0090445E">
        <w:rPr>
          <w:rFonts w:ascii="Arial" w:eastAsia="Calibri" w:hAnsi="Arial" w:cs="Arial"/>
          <w:lang w:val="en-GB" w:eastAsia="en-GB" w:bidi="ar-SA"/>
        </w:rPr>
        <w:t xml:space="preserve">was implemented in the SEE CCR (in accordance with article 21 of the </w:t>
      </w:r>
      <w:r w:rsidRPr="0090445E">
        <w:rPr>
          <w:rFonts w:ascii="Arial" w:hAnsi="Arial" w:cs="Arial"/>
          <w:lang w:val="en-GB"/>
        </w:rPr>
        <w:t xml:space="preserve">Regulation (EU) 2015/1222) approved by the national regulatory authorities of SEE RCC. Thus, starting with 01.07.2021 the day-ahead capacity calculation </w:t>
      </w:r>
      <w:r w:rsidR="00FC5621" w:rsidRPr="0090445E">
        <w:rPr>
          <w:rFonts w:ascii="Arial" w:hAnsi="Arial" w:cs="Arial"/>
          <w:lang w:val="en-GB"/>
        </w:rPr>
        <w:t xml:space="preserve">has been coordinated across SEE CCR. </w:t>
      </w:r>
      <w:r w:rsidR="00F808AC" w:rsidRPr="0090445E">
        <w:rPr>
          <w:rFonts w:ascii="Arial" w:hAnsi="Arial" w:cs="Arial"/>
          <w:lang w:val="en-GB"/>
        </w:rPr>
        <w:t>In spite of this, the coordinated validation process in the SEE CCR has not been implemented yet.</w:t>
      </w:r>
    </w:p>
    <w:p w14:paraId="0F4D83C5" w14:textId="0E06E729" w:rsidR="005E4E24" w:rsidRPr="0090445E" w:rsidRDefault="00232F96" w:rsidP="00C51B11">
      <w:pPr>
        <w:widowControl w:val="0"/>
        <w:spacing w:after="120"/>
        <w:jc w:val="both"/>
        <w:rPr>
          <w:rFonts w:ascii="Arial" w:hAnsi="Arial" w:cs="Arial"/>
          <w:lang w:val="en-GB"/>
        </w:rPr>
      </w:pPr>
      <w:r w:rsidRPr="0090445E">
        <w:rPr>
          <w:rFonts w:ascii="Arial" w:hAnsi="Arial" w:cs="Arial"/>
          <w:lang w:val="en-GB"/>
        </w:rPr>
        <w:t>(</w:t>
      </w:r>
      <w:r w:rsidR="003A68A2" w:rsidRPr="0090445E">
        <w:rPr>
          <w:rFonts w:ascii="Arial" w:hAnsi="Arial" w:cs="Arial"/>
          <w:lang w:val="en-GB"/>
        </w:rPr>
        <w:t>7</w:t>
      </w:r>
      <w:r w:rsidRPr="0090445E">
        <w:rPr>
          <w:rFonts w:ascii="Arial" w:hAnsi="Arial" w:cs="Arial"/>
          <w:lang w:val="en-GB"/>
        </w:rPr>
        <w:t xml:space="preserve">) </w:t>
      </w:r>
      <w:r w:rsidR="005E4E24" w:rsidRPr="0090445E">
        <w:rPr>
          <w:rFonts w:ascii="Arial" w:hAnsi="Arial" w:cs="Arial"/>
          <w:lang w:val="en-GB"/>
        </w:rPr>
        <w:t xml:space="preserve">Starting with </w:t>
      </w:r>
      <w:r w:rsidR="006920D0" w:rsidRPr="0090445E">
        <w:rPr>
          <w:rFonts w:ascii="Arial" w:hAnsi="Arial" w:cs="Arial"/>
          <w:lang w:val="en-GB"/>
        </w:rPr>
        <w:t>the 9</w:t>
      </w:r>
      <w:r w:rsidR="006920D0" w:rsidRPr="0090445E">
        <w:rPr>
          <w:rFonts w:ascii="Arial" w:hAnsi="Arial" w:cs="Arial"/>
          <w:vertAlign w:val="superscript"/>
          <w:lang w:val="en-GB"/>
        </w:rPr>
        <w:t>th</w:t>
      </w:r>
      <w:r w:rsidR="006920D0" w:rsidRPr="0090445E">
        <w:rPr>
          <w:rFonts w:ascii="Arial" w:hAnsi="Arial" w:cs="Arial"/>
          <w:lang w:val="en-GB"/>
        </w:rPr>
        <w:t xml:space="preserve"> of June 2022</w:t>
      </w:r>
      <w:r w:rsidR="005E4E24" w:rsidRPr="0090445E">
        <w:rPr>
          <w:rFonts w:ascii="Arial" w:hAnsi="Arial" w:cs="Arial"/>
          <w:lang w:val="en-GB"/>
        </w:rPr>
        <w:t xml:space="preserve"> the Core Day-ahead Capacity Calculation Methodology has been implemented. However, the Coordinated Validation process is not yet implemented, TSOs only being able to validate the results through the Individual Validation process. </w:t>
      </w:r>
    </w:p>
    <w:p w14:paraId="1C39B436" w14:textId="3F4565FB" w:rsidR="003E4873" w:rsidRPr="0090445E" w:rsidRDefault="00232F96" w:rsidP="00C51B11">
      <w:pPr>
        <w:widowControl w:val="0"/>
        <w:spacing w:after="120"/>
        <w:jc w:val="both"/>
        <w:rPr>
          <w:rFonts w:ascii="Arial" w:hAnsi="Arial" w:cs="Arial"/>
          <w:lang w:val="en-GB"/>
        </w:rPr>
      </w:pPr>
      <w:r w:rsidRPr="0090445E">
        <w:rPr>
          <w:rFonts w:ascii="Arial" w:hAnsi="Arial" w:cs="Arial"/>
          <w:lang w:val="en-GB"/>
        </w:rPr>
        <w:t>(</w:t>
      </w:r>
      <w:r w:rsidR="003A68A2" w:rsidRPr="0090445E">
        <w:rPr>
          <w:rFonts w:ascii="Arial" w:hAnsi="Arial" w:cs="Arial"/>
          <w:lang w:val="en-GB"/>
        </w:rPr>
        <w:t>8</w:t>
      </w:r>
      <w:r w:rsidRPr="0090445E">
        <w:rPr>
          <w:rFonts w:ascii="Arial" w:hAnsi="Arial" w:cs="Arial"/>
          <w:lang w:val="en-GB"/>
        </w:rPr>
        <w:t xml:space="preserve">) </w:t>
      </w:r>
      <w:r w:rsidR="009B2080" w:rsidRPr="0090445E">
        <w:rPr>
          <w:rFonts w:ascii="Arial" w:hAnsi="Arial" w:cs="Arial"/>
          <w:lang w:val="en-GB"/>
        </w:rPr>
        <w:t>The following methodologies</w:t>
      </w:r>
      <w:r w:rsidR="00FC5621" w:rsidRPr="0090445E">
        <w:rPr>
          <w:rFonts w:ascii="Arial" w:hAnsi="Arial" w:cs="Arial"/>
          <w:lang w:val="en-GB"/>
        </w:rPr>
        <w:t xml:space="preserve"> and processes, relevant for determining the minimum </w:t>
      </w:r>
      <w:r w:rsidR="00FC5621" w:rsidRPr="0090445E">
        <w:rPr>
          <w:rFonts w:ascii="Arial" w:eastAsia="Calibri" w:hAnsi="Arial" w:cs="Arial"/>
          <w:lang w:val="en-GB" w:eastAsia="en-GB" w:bidi="ar-SA"/>
        </w:rPr>
        <w:t>capacity for cross-zonal trade,</w:t>
      </w:r>
      <w:r w:rsidR="009B2080" w:rsidRPr="0090445E">
        <w:rPr>
          <w:rFonts w:ascii="Arial" w:hAnsi="Arial" w:cs="Arial"/>
          <w:lang w:val="en-GB"/>
        </w:rPr>
        <w:t xml:space="preserve"> </w:t>
      </w:r>
      <w:r w:rsidR="00FC5621" w:rsidRPr="0090445E">
        <w:rPr>
          <w:rFonts w:ascii="Arial" w:hAnsi="Arial" w:cs="Arial"/>
          <w:lang w:val="en-GB"/>
        </w:rPr>
        <w:t>are being implemented</w:t>
      </w:r>
      <w:r w:rsidR="009B2080" w:rsidRPr="0090445E">
        <w:rPr>
          <w:rFonts w:ascii="Arial" w:hAnsi="Arial" w:cs="Arial"/>
          <w:lang w:val="en-GB"/>
        </w:rPr>
        <w:t xml:space="preserve"> at Core</w:t>
      </w:r>
      <w:r w:rsidR="00FC5621" w:rsidRPr="0090445E">
        <w:rPr>
          <w:rFonts w:ascii="Arial" w:hAnsi="Arial" w:cs="Arial"/>
          <w:lang w:val="en-GB"/>
        </w:rPr>
        <w:t xml:space="preserve"> and SEE</w:t>
      </w:r>
      <w:r w:rsidR="009B2080" w:rsidRPr="0090445E">
        <w:rPr>
          <w:rFonts w:ascii="Arial" w:hAnsi="Arial" w:cs="Arial"/>
          <w:lang w:val="en-GB"/>
        </w:rPr>
        <w:t xml:space="preserve"> CCR level, but the implementation </w:t>
      </w:r>
      <w:r w:rsidR="00FC5621" w:rsidRPr="0090445E">
        <w:rPr>
          <w:rFonts w:ascii="Arial" w:hAnsi="Arial" w:cs="Arial"/>
          <w:lang w:val="en-GB"/>
        </w:rPr>
        <w:t>has not been finalized</w:t>
      </w:r>
      <w:r w:rsidR="005E4E24" w:rsidRPr="0090445E">
        <w:rPr>
          <w:rFonts w:ascii="Arial" w:hAnsi="Arial" w:cs="Arial"/>
          <w:lang w:val="en-GB"/>
        </w:rPr>
        <w:t xml:space="preserve"> yet</w:t>
      </w:r>
      <w:r w:rsidR="009B2080" w:rsidRPr="0090445E">
        <w:rPr>
          <w:rFonts w:ascii="Arial" w:hAnsi="Arial" w:cs="Arial"/>
          <w:lang w:val="en-GB"/>
        </w:rPr>
        <w:t>:</w:t>
      </w:r>
    </w:p>
    <w:p w14:paraId="03098965" w14:textId="2FAE141C" w:rsidR="009B2080" w:rsidRPr="0090445E" w:rsidRDefault="008E735B" w:rsidP="00EB79F5">
      <w:pPr>
        <w:pStyle w:val="ListParagraph"/>
        <w:widowControl w:val="0"/>
        <w:numPr>
          <w:ilvl w:val="0"/>
          <w:numId w:val="13"/>
        </w:numPr>
        <w:spacing w:after="0"/>
        <w:ind w:left="1134"/>
        <w:jc w:val="both"/>
        <w:rPr>
          <w:rFonts w:ascii="Arial" w:hAnsi="Arial" w:cs="Arial"/>
          <w:lang w:val="en-GB"/>
        </w:rPr>
      </w:pPr>
      <w:r w:rsidRPr="0090445E">
        <w:rPr>
          <w:rFonts w:ascii="Arial" w:hAnsi="Arial" w:cs="Arial"/>
          <w:lang w:val="en-GB"/>
        </w:rPr>
        <w:t xml:space="preserve">The </w:t>
      </w:r>
      <w:r w:rsidR="00C80670" w:rsidRPr="0090445E">
        <w:rPr>
          <w:rFonts w:ascii="Arial" w:hAnsi="Arial" w:cs="Arial"/>
          <w:lang w:val="en-GB"/>
        </w:rPr>
        <w:t xml:space="preserve">regional </w:t>
      </w:r>
      <w:r w:rsidR="00F9193C" w:rsidRPr="0090445E">
        <w:rPr>
          <w:rFonts w:ascii="Arial" w:hAnsi="Arial" w:cs="Arial"/>
          <w:lang w:val="en-GB"/>
        </w:rPr>
        <w:t xml:space="preserve">coordinated </w:t>
      </w:r>
      <w:r w:rsidRPr="0090445E">
        <w:rPr>
          <w:rFonts w:ascii="Arial" w:hAnsi="Arial" w:cs="Arial"/>
          <w:lang w:val="en-GB"/>
        </w:rPr>
        <w:t xml:space="preserve">redispatching and countertrading methodology, pursuant </w:t>
      </w:r>
      <w:r w:rsidR="000846DB" w:rsidRPr="0090445E">
        <w:rPr>
          <w:rFonts w:ascii="Arial" w:hAnsi="Arial" w:cs="Arial"/>
          <w:lang w:val="en-GB"/>
        </w:rPr>
        <w:t>to</w:t>
      </w:r>
      <w:r w:rsidRPr="0090445E">
        <w:rPr>
          <w:rFonts w:ascii="Arial" w:hAnsi="Arial" w:cs="Arial"/>
          <w:lang w:val="en-GB"/>
        </w:rPr>
        <w:t xml:space="preserve"> Article 35</w:t>
      </w:r>
      <w:r w:rsidR="000846DB" w:rsidRPr="0090445E">
        <w:rPr>
          <w:rFonts w:ascii="Arial" w:hAnsi="Arial" w:cs="Arial"/>
          <w:lang w:val="en-GB"/>
        </w:rPr>
        <w:t xml:space="preserve"> of</w:t>
      </w:r>
      <w:r w:rsidRPr="0090445E">
        <w:rPr>
          <w:rFonts w:ascii="Arial" w:hAnsi="Arial" w:cs="Arial"/>
          <w:lang w:val="en-GB"/>
        </w:rPr>
        <w:t xml:space="preserve"> Regulation (EU) 2015/1222, is unde</w:t>
      </w:r>
      <w:r w:rsidR="00C56EE9" w:rsidRPr="0090445E">
        <w:rPr>
          <w:rFonts w:ascii="Arial" w:hAnsi="Arial" w:cs="Arial"/>
          <w:lang w:val="en-GB"/>
        </w:rPr>
        <w:t>r</w:t>
      </w:r>
      <w:r w:rsidRPr="0090445E">
        <w:rPr>
          <w:rFonts w:ascii="Arial" w:hAnsi="Arial" w:cs="Arial"/>
          <w:lang w:val="en-GB"/>
        </w:rPr>
        <w:t xml:space="preserve"> the implementation phase with go-live window in</w:t>
      </w:r>
      <w:r w:rsidR="00770A4C">
        <w:rPr>
          <w:rFonts w:ascii="Arial" w:hAnsi="Arial" w:cs="Arial"/>
          <w:lang w:val="en-GB"/>
        </w:rPr>
        <w:t xml:space="preserve"> </w:t>
      </w:r>
      <w:r w:rsidR="00B44C57" w:rsidRPr="0090445E">
        <w:rPr>
          <w:rFonts w:ascii="Arial" w:hAnsi="Arial" w:cs="Arial"/>
          <w:lang w:val="en-GB"/>
        </w:rPr>
        <w:t>2027</w:t>
      </w:r>
      <w:r w:rsidRPr="0090445E">
        <w:rPr>
          <w:rFonts w:ascii="Arial" w:hAnsi="Arial" w:cs="Arial"/>
          <w:lang w:val="en-GB"/>
        </w:rPr>
        <w:t>;</w:t>
      </w:r>
    </w:p>
    <w:p w14:paraId="460D6A28" w14:textId="4446467F" w:rsidR="008E735B" w:rsidRPr="0090445E" w:rsidRDefault="008E735B" w:rsidP="008E735B">
      <w:pPr>
        <w:pStyle w:val="ListParagraph"/>
        <w:widowControl w:val="0"/>
        <w:numPr>
          <w:ilvl w:val="0"/>
          <w:numId w:val="13"/>
        </w:numPr>
        <w:spacing w:after="0"/>
        <w:ind w:left="1134"/>
        <w:jc w:val="both"/>
        <w:rPr>
          <w:rFonts w:ascii="Arial" w:hAnsi="Arial" w:cs="Arial"/>
          <w:lang w:val="en-GB"/>
        </w:rPr>
      </w:pPr>
      <w:r w:rsidRPr="0090445E">
        <w:rPr>
          <w:rFonts w:ascii="Arial" w:hAnsi="Arial" w:cs="Arial"/>
          <w:lang w:val="en-GB"/>
        </w:rPr>
        <w:t>The redispatching and countertrading</w:t>
      </w:r>
      <w:r w:rsidR="00C56EE9" w:rsidRPr="0090445E">
        <w:rPr>
          <w:rFonts w:ascii="Arial" w:hAnsi="Arial" w:cs="Arial"/>
          <w:lang w:val="en-GB"/>
        </w:rPr>
        <w:t xml:space="preserve"> cost sharing</w:t>
      </w:r>
      <w:r w:rsidRPr="0090445E">
        <w:rPr>
          <w:rFonts w:ascii="Arial" w:hAnsi="Arial" w:cs="Arial"/>
          <w:lang w:val="en-GB"/>
        </w:rPr>
        <w:t xml:space="preserve"> methodology, pursuant </w:t>
      </w:r>
      <w:r w:rsidR="000846DB" w:rsidRPr="0090445E">
        <w:rPr>
          <w:rFonts w:ascii="Arial" w:hAnsi="Arial" w:cs="Arial"/>
          <w:lang w:val="en-GB"/>
        </w:rPr>
        <w:t xml:space="preserve">to </w:t>
      </w:r>
      <w:r w:rsidRPr="0090445E">
        <w:rPr>
          <w:rFonts w:ascii="Arial" w:hAnsi="Arial" w:cs="Arial"/>
          <w:lang w:val="en-GB"/>
        </w:rPr>
        <w:t xml:space="preserve">Article </w:t>
      </w:r>
      <w:r w:rsidR="00C56EE9" w:rsidRPr="0090445E">
        <w:rPr>
          <w:rFonts w:ascii="Arial" w:hAnsi="Arial" w:cs="Arial"/>
          <w:lang w:val="en-GB"/>
        </w:rPr>
        <w:t>74</w:t>
      </w:r>
      <w:r w:rsidRPr="0090445E">
        <w:rPr>
          <w:rFonts w:ascii="Arial" w:hAnsi="Arial" w:cs="Arial"/>
          <w:lang w:val="en-GB"/>
        </w:rPr>
        <w:t xml:space="preserve"> </w:t>
      </w:r>
      <w:r w:rsidR="000846DB" w:rsidRPr="0090445E">
        <w:rPr>
          <w:rFonts w:ascii="Arial" w:hAnsi="Arial" w:cs="Arial"/>
          <w:lang w:val="en-GB"/>
        </w:rPr>
        <w:t xml:space="preserve">of </w:t>
      </w:r>
      <w:r w:rsidRPr="0090445E">
        <w:rPr>
          <w:rFonts w:ascii="Arial" w:hAnsi="Arial" w:cs="Arial"/>
          <w:lang w:val="en-GB"/>
        </w:rPr>
        <w:t>Regulation (EU) 2015/1222, is unde</w:t>
      </w:r>
      <w:r w:rsidR="00C56EE9" w:rsidRPr="0090445E">
        <w:rPr>
          <w:rFonts w:ascii="Arial" w:hAnsi="Arial" w:cs="Arial"/>
          <w:lang w:val="en-GB"/>
        </w:rPr>
        <w:t>r</w:t>
      </w:r>
      <w:r w:rsidRPr="0090445E">
        <w:rPr>
          <w:rFonts w:ascii="Arial" w:hAnsi="Arial" w:cs="Arial"/>
          <w:lang w:val="en-GB"/>
        </w:rPr>
        <w:t xml:space="preserve"> the implementation phase with go-live window in</w:t>
      </w:r>
      <w:r w:rsidR="00770A4C">
        <w:rPr>
          <w:rFonts w:ascii="Arial" w:hAnsi="Arial" w:cs="Arial"/>
          <w:lang w:val="en-GB"/>
        </w:rPr>
        <w:t xml:space="preserve"> </w:t>
      </w:r>
      <w:r w:rsidR="00B44C57" w:rsidRPr="0090445E">
        <w:rPr>
          <w:rFonts w:ascii="Arial" w:hAnsi="Arial" w:cs="Arial"/>
          <w:lang w:val="en-GB"/>
        </w:rPr>
        <w:t>2027</w:t>
      </w:r>
      <w:r w:rsidRPr="0090445E">
        <w:rPr>
          <w:rFonts w:ascii="Arial" w:hAnsi="Arial" w:cs="Arial"/>
          <w:lang w:val="en-GB"/>
        </w:rPr>
        <w:t>;</w:t>
      </w:r>
    </w:p>
    <w:p w14:paraId="0A7A9E20" w14:textId="5E52A6EB" w:rsidR="000846DB" w:rsidRPr="0090445E" w:rsidRDefault="000846DB" w:rsidP="00C51B11">
      <w:pPr>
        <w:pStyle w:val="ListParagraph"/>
        <w:widowControl w:val="0"/>
        <w:numPr>
          <w:ilvl w:val="0"/>
          <w:numId w:val="13"/>
        </w:numPr>
        <w:spacing w:after="120"/>
        <w:ind w:left="1135" w:hanging="284"/>
        <w:contextualSpacing w:val="0"/>
        <w:jc w:val="both"/>
        <w:rPr>
          <w:rFonts w:ascii="Arial" w:hAnsi="Arial" w:cs="Arial"/>
          <w:lang w:val="en-GB"/>
        </w:rPr>
      </w:pPr>
      <w:r w:rsidRPr="0090445E">
        <w:rPr>
          <w:rFonts w:ascii="Arial" w:hAnsi="Arial" w:cs="Arial"/>
          <w:lang w:val="en-GB"/>
        </w:rPr>
        <w:t>The regional operational security coordination methodology</w:t>
      </w:r>
      <w:r w:rsidR="0053504E" w:rsidRPr="0090445E">
        <w:rPr>
          <w:rFonts w:ascii="Arial" w:hAnsi="Arial" w:cs="Arial"/>
          <w:lang w:val="en-GB"/>
        </w:rPr>
        <w:t xml:space="preserve"> (ROSC)</w:t>
      </w:r>
      <w:r w:rsidRPr="0090445E">
        <w:rPr>
          <w:rFonts w:ascii="Arial" w:hAnsi="Arial" w:cs="Arial"/>
          <w:lang w:val="en-GB"/>
        </w:rPr>
        <w:t xml:space="preserve">, pursuant to Article 76 of Regulation (EU) 2017/1485, is under implementation phase, with go-live window of the first version in </w:t>
      </w:r>
      <w:r w:rsidR="00FC5621" w:rsidRPr="0090445E">
        <w:rPr>
          <w:rFonts w:ascii="Arial" w:hAnsi="Arial" w:cs="Arial"/>
          <w:lang w:val="en-GB"/>
        </w:rPr>
        <w:t>202</w:t>
      </w:r>
      <w:r w:rsidR="00B44C57" w:rsidRPr="0090445E">
        <w:rPr>
          <w:rFonts w:ascii="Arial" w:hAnsi="Arial" w:cs="Arial"/>
          <w:lang w:val="en-GB"/>
        </w:rPr>
        <w:t>7</w:t>
      </w:r>
      <w:r w:rsidRPr="0090445E">
        <w:rPr>
          <w:rFonts w:ascii="Arial" w:hAnsi="Arial" w:cs="Arial"/>
          <w:lang w:val="en-GB"/>
        </w:rPr>
        <w:t>.</w:t>
      </w:r>
      <w:r w:rsidR="0053504E" w:rsidRPr="0090445E">
        <w:rPr>
          <w:rFonts w:ascii="Arial" w:hAnsi="Arial" w:cs="Arial"/>
          <w:lang w:val="en-GB"/>
        </w:rPr>
        <w:t xml:space="preserve"> ROSC Methodology introduces a coordination process which defines explicit rules for the preparation of remedial actions in a coordinated way and assigns the responsibilities for the TSOs and R</w:t>
      </w:r>
      <w:r w:rsidR="00232F96" w:rsidRPr="0090445E">
        <w:rPr>
          <w:rFonts w:ascii="Arial" w:hAnsi="Arial" w:cs="Arial"/>
          <w:lang w:val="en-GB"/>
        </w:rPr>
        <w:t>C</w:t>
      </w:r>
      <w:r w:rsidR="0053504E" w:rsidRPr="0090445E">
        <w:rPr>
          <w:rFonts w:ascii="Arial" w:hAnsi="Arial" w:cs="Arial"/>
          <w:lang w:val="en-GB"/>
        </w:rPr>
        <w:t>C</w:t>
      </w:r>
      <w:r w:rsidR="00232F96" w:rsidRPr="0090445E">
        <w:rPr>
          <w:rFonts w:ascii="Arial" w:hAnsi="Arial" w:cs="Arial"/>
          <w:lang w:val="en-GB"/>
        </w:rPr>
        <w:t>s</w:t>
      </w:r>
      <w:r w:rsidR="0053504E" w:rsidRPr="0090445E">
        <w:rPr>
          <w:rFonts w:ascii="Arial" w:hAnsi="Arial" w:cs="Arial"/>
          <w:lang w:val="en-GB"/>
        </w:rPr>
        <w:t xml:space="preserve"> of the region, complementing the methodologies developed in accordance with Articles 35 and 74 </w:t>
      </w:r>
      <w:r w:rsidR="003E2F08" w:rsidRPr="0090445E">
        <w:rPr>
          <w:rFonts w:ascii="Arial" w:hAnsi="Arial" w:cs="Arial"/>
          <w:lang w:val="en-GB"/>
        </w:rPr>
        <w:t>of Regulation (EU) 2015/1222</w:t>
      </w:r>
      <w:r w:rsidR="0053504E" w:rsidRPr="0090445E">
        <w:rPr>
          <w:rFonts w:ascii="Arial" w:hAnsi="Arial" w:cs="Arial"/>
          <w:lang w:val="en-GB"/>
        </w:rPr>
        <w:t>.</w:t>
      </w:r>
    </w:p>
    <w:p w14:paraId="397F9586" w14:textId="6CF3AE25" w:rsidR="00D56513" w:rsidRPr="0090445E" w:rsidRDefault="00D1016C" w:rsidP="002B0DDE">
      <w:pPr>
        <w:widowControl w:val="0"/>
        <w:spacing w:after="120"/>
        <w:jc w:val="both"/>
        <w:rPr>
          <w:rFonts w:ascii="Arial" w:hAnsi="Arial" w:cs="Arial"/>
          <w:lang w:val="en-GB"/>
        </w:rPr>
      </w:pPr>
      <w:r w:rsidRPr="0090445E">
        <w:rPr>
          <w:rFonts w:ascii="Arial" w:hAnsi="Arial" w:cs="Arial"/>
          <w:lang w:val="en-GB"/>
        </w:rPr>
        <w:t>(</w:t>
      </w:r>
      <w:r w:rsidR="003A68A2" w:rsidRPr="0090445E">
        <w:rPr>
          <w:rFonts w:ascii="Arial" w:hAnsi="Arial" w:cs="Arial"/>
          <w:lang w:val="en-GB"/>
        </w:rPr>
        <w:t>9</w:t>
      </w:r>
      <w:r w:rsidRPr="0090445E">
        <w:rPr>
          <w:rFonts w:ascii="Arial" w:hAnsi="Arial" w:cs="Arial"/>
          <w:lang w:val="en-GB"/>
        </w:rPr>
        <w:t xml:space="preserve">) </w:t>
      </w:r>
      <w:r w:rsidR="00D56513" w:rsidRPr="0090445E">
        <w:rPr>
          <w:rFonts w:ascii="Arial" w:hAnsi="Arial" w:cs="Arial"/>
          <w:lang w:val="en-GB"/>
        </w:rPr>
        <w:t xml:space="preserve">As the operational security would have been endangered, </w:t>
      </w:r>
      <w:r w:rsidR="00F9193C" w:rsidRPr="0090445E">
        <w:rPr>
          <w:rFonts w:ascii="Arial" w:hAnsi="Arial" w:cs="Arial"/>
          <w:lang w:val="en-GB"/>
        </w:rPr>
        <w:t xml:space="preserve">pursuant to article 16 (9) of the Regulation (EU) 2019/943, </w:t>
      </w:r>
      <w:r w:rsidR="00F1092D">
        <w:rPr>
          <w:rFonts w:ascii="Arial" w:hAnsi="Arial" w:cs="Arial"/>
          <w:lang w:val="en-GB"/>
        </w:rPr>
        <w:t xml:space="preserve">CNTEE </w:t>
      </w:r>
      <w:r w:rsidR="00D56513" w:rsidRPr="0090445E">
        <w:rPr>
          <w:rFonts w:ascii="Arial" w:hAnsi="Arial" w:cs="Arial"/>
          <w:lang w:val="en-GB"/>
        </w:rPr>
        <w:t xml:space="preserve">Transelectrica SA </w:t>
      </w:r>
      <w:r w:rsidR="00BA345C" w:rsidRPr="0090445E">
        <w:rPr>
          <w:rFonts w:ascii="Arial" w:hAnsi="Arial" w:cs="Arial"/>
          <w:lang w:val="en-GB"/>
        </w:rPr>
        <w:t xml:space="preserve">submitted </w:t>
      </w:r>
      <w:r w:rsidR="00D56513" w:rsidRPr="0090445E">
        <w:rPr>
          <w:rFonts w:ascii="Arial" w:hAnsi="Arial" w:cs="Arial"/>
          <w:lang w:val="en-GB"/>
        </w:rPr>
        <w:t xml:space="preserve">a request for derogation from the obligations laid down under Article 16(8) of the Regulation (EU) 2019/943 for Core </w:t>
      </w:r>
      <w:r w:rsidR="00D56513" w:rsidRPr="0090445E">
        <w:rPr>
          <w:rFonts w:ascii="Arial" w:hAnsi="Arial" w:cs="Arial"/>
          <w:lang w:val="en-GB"/>
        </w:rPr>
        <w:lastRenderedPageBreak/>
        <w:t xml:space="preserve">and SEE CCRs for 2020. The Decision of ANRE no. 2206 from 20.12.2019 granted </w:t>
      </w:r>
      <w:r w:rsidR="001154B6" w:rsidRPr="0090445E">
        <w:rPr>
          <w:rFonts w:ascii="Arial" w:hAnsi="Arial" w:cs="Arial"/>
          <w:lang w:val="en-GB"/>
        </w:rPr>
        <w:t>the derogation for Transelectrica SA from the obligations laid down under Article 16(8) of the Regulation (EU) 2019/943 for a period of one year starting with 01.01.2020.</w:t>
      </w:r>
      <w:r w:rsidR="00D56513" w:rsidRPr="0090445E">
        <w:rPr>
          <w:rFonts w:ascii="Arial" w:hAnsi="Arial" w:cs="Arial"/>
          <w:lang w:val="en-GB"/>
        </w:rPr>
        <w:t xml:space="preserve">  </w:t>
      </w:r>
    </w:p>
    <w:p w14:paraId="68B4D086" w14:textId="57C475BB" w:rsidR="00020153" w:rsidRDefault="00D1016C" w:rsidP="00C51B11">
      <w:pPr>
        <w:widowControl w:val="0"/>
        <w:spacing w:after="120"/>
        <w:jc w:val="both"/>
        <w:rPr>
          <w:rFonts w:ascii="Arial" w:hAnsi="Arial" w:cs="Arial"/>
          <w:lang w:val="en-GB"/>
        </w:rPr>
      </w:pPr>
      <w:r w:rsidRPr="0090445E">
        <w:rPr>
          <w:rFonts w:ascii="Arial" w:hAnsi="Arial" w:cs="Arial"/>
          <w:lang w:val="en-GB"/>
        </w:rPr>
        <w:t>(</w:t>
      </w:r>
      <w:r w:rsidR="003A68A2" w:rsidRPr="0090445E">
        <w:rPr>
          <w:rFonts w:ascii="Arial" w:hAnsi="Arial" w:cs="Arial"/>
          <w:lang w:val="en-GB"/>
        </w:rPr>
        <w:t>10</w:t>
      </w:r>
      <w:r w:rsidRPr="0090445E">
        <w:rPr>
          <w:rFonts w:ascii="Arial" w:hAnsi="Arial" w:cs="Arial"/>
          <w:lang w:val="en-GB"/>
        </w:rPr>
        <w:t xml:space="preserve">) </w:t>
      </w:r>
      <w:r w:rsidR="001154B6" w:rsidRPr="0090445E">
        <w:rPr>
          <w:rFonts w:ascii="Arial" w:hAnsi="Arial" w:cs="Arial"/>
          <w:lang w:val="en-GB"/>
        </w:rPr>
        <w:t xml:space="preserve">In 2021, the Romanian Government decided to adopt an Action Plan pursuant to Article 15 of the Regulation (EU) 2019/943, including </w:t>
      </w:r>
      <w:r w:rsidR="006E0A1D" w:rsidRPr="0090445E">
        <w:rPr>
          <w:rFonts w:ascii="Arial" w:hAnsi="Arial" w:cs="Arial"/>
          <w:lang w:val="en-GB"/>
        </w:rPr>
        <w:t xml:space="preserve">a </w:t>
      </w:r>
      <w:r w:rsidR="001154B6" w:rsidRPr="0090445E">
        <w:rPr>
          <w:rFonts w:ascii="Arial" w:hAnsi="Arial" w:cs="Arial"/>
          <w:lang w:val="en-GB"/>
        </w:rPr>
        <w:t>linear trajectory for the yearly increase of the minimum capacity made available for cross-zonal trade until 31</w:t>
      </w:r>
      <w:r w:rsidR="00232F96" w:rsidRPr="0090445E">
        <w:rPr>
          <w:rFonts w:ascii="Arial" w:hAnsi="Arial" w:cs="Arial"/>
          <w:vertAlign w:val="superscript"/>
          <w:lang w:val="en-GB"/>
        </w:rPr>
        <w:t>st</w:t>
      </w:r>
      <w:r w:rsidR="00232F96" w:rsidRPr="0090445E">
        <w:rPr>
          <w:rFonts w:ascii="Arial" w:hAnsi="Arial" w:cs="Arial"/>
          <w:lang w:val="en-GB"/>
        </w:rPr>
        <w:t xml:space="preserve"> of</w:t>
      </w:r>
      <w:r w:rsidR="001154B6" w:rsidRPr="0090445E">
        <w:rPr>
          <w:rFonts w:ascii="Arial" w:hAnsi="Arial" w:cs="Arial"/>
          <w:lang w:val="en-GB"/>
        </w:rPr>
        <w:t xml:space="preserve"> December 2025. </w:t>
      </w:r>
      <w:r w:rsidR="00232F96" w:rsidRPr="0090445E">
        <w:rPr>
          <w:rFonts w:ascii="Arial" w:hAnsi="Arial" w:cs="Arial"/>
          <w:lang w:val="en-GB"/>
        </w:rPr>
        <w:t>For 2021, the minimum capacity made available for cross-zonal trade on the Romania – Hungary border was 800 MW (representing 33% of the transmission capacity) whereas on the Romania – Bulgaria border it was 900 MW (representing 25% of the transmission capacity).</w:t>
      </w:r>
      <w:r w:rsidR="00751B8F">
        <w:rPr>
          <w:rFonts w:ascii="Arial" w:hAnsi="Arial" w:cs="Arial"/>
          <w:lang w:val="en-GB"/>
        </w:rPr>
        <w:t xml:space="preserve"> Through the Decision no. </w:t>
      </w:r>
      <w:r w:rsidR="00020153">
        <w:rPr>
          <w:rFonts w:ascii="Arial" w:hAnsi="Arial" w:cs="Arial"/>
          <w:lang w:val="en-GB"/>
        </w:rPr>
        <w:t>1562</w:t>
      </w:r>
      <w:r w:rsidR="00751B8F">
        <w:rPr>
          <w:rFonts w:ascii="Arial" w:hAnsi="Arial" w:cs="Arial"/>
          <w:lang w:val="en-GB"/>
        </w:rPr>
        <w:t xml:space="preserve"> from </w:t>
      </w:r>
      <w:r w:rsidR="00020153">
        <w:rPr>
          <w:rFonts w:ascii="Arial" w:hAnsi="Arial" w:cs="Arial"/>
          <w:lang w:val="en-GB"/>
        </w:rPr>
        <w:t>07</w:t>
      </w:r>
      <w:r w:rsidR="00751B8F">
        <w:rPr>
          <w:rFonts w:ascii="Arial" w:hAnsi="Arial" w:cs="Arial"/>
          <w:lang w:val="en-GB"/>
        </w:rPr>
        <w:t>.0</w:t>
      </w:r>
      <w:r w:rsidR="00020153">
        <w:rPr>
          <w:rFonts w:ascii="Arial" w:hAnsi="Arial" w:cs="Arial"/>
          <w:lang w:val="en-GB"/>
        </w:rPr>
        <w:t>9</w:t>
      </w:r>
      <w:r w:rsidR="00751B8F">
        <w:rPr>
          <w:rFonts w:ascii="Arial" w:hAnsi="Arial" w:cs="Arial"/>
          <w:lang w:val="en-GB"/>
        </w:rPr>
        <w:t>.202</w:t>
      </w:r>
      <w:r w:rsidR="00020153">
        <w:rPr>
          <w:rFonts w:ascii="Arial" w:hAnsi="Arial" w:cs="Arial"/>
          <w:lang w:val="en-GB"/>
        </w:rPr>
        <w:t>2</w:t>
      </w:r>
      <w:r w:rsidR="00751B8F">
        <w:rPr>
          <w:rFonts w:ascii="Arial" w:hAnsi="Arial" w:cs="Arial"/>
          <w:lang w:val="en-GB"/>
        </w:rPr>
        <w:t xml:space="preserve">, ANRE approved the “Annual </w:t>
      </w:r>
      <w:r w:rsidR="00751B8F" w:rsidRPr="00751B8F">
        <w:rPr>
          <w:rFonts w:ascii="Arial" w:hAnsi="Arial" w:cs="Arial"/>
          <w:lang w:val="en-GB"/>
        </w:rPr>
        <w:t>monitoring report on the maximum available capacity for cross-border trade for the ye</w:t>
      </w:r>
      <w:r w:rsidR="00751B8F">
        <w:rPr>
          <w:rFonts w:ascii="Arial" w:hAnsi="Arial" w:cs="Arial"/>
          <w:lang w:val="en-GB"/>
        </w:rPr>
        <w:t>ar 202</w:t>
      </w:r>
      <w:r w:rsidR="00020153">
        <w:rPr>
          <w:rFonts w:ascii="Arial" w:hAnsi="Arial" w:cs="Arial"/>
          <w:lang w:val="en-GB"/>
        </w:rPr>
        <w:t>1</w:t>
      </w:r>
      <w:r w:rsidR="00751B8F">
        <w:rPr>
          <w:rFonts w:ascii="Arial" w:hAnsi="Arial" w:cs="Arial"/>
          <w:lang w:val="en-GB"/>
        </w:rPr>
        <w:t>, in accordance with Article 15</w:t>
      </w:r>
      <w:r w:rsidR="00751B8F" w:rsidRPr="00751B8F">
        <w:rPr>
          <w:rFonts w:ascii="Arial" w:hAnsi="Arial" w:cs="Arial"/>
          <w:lang w:val="en-GB"/>
        </w:rPr>
        <w:t>(4) of Regulation (EU) 2019/943 of the European Parliament and of the Council of June 5, 2019 on the internal market for electricity".</w:t>
      </w:r>
    </w:p>
    <w:p w14:paraId="22974C39" w14:textId="4EB2349E" w:rsidR="00E96CE3" w:rsidRPr="0090445E" w:rsidRDefault="00232F96" w:rsidP="00020153">
      <w:pPr>
        <w:widowControl w:val="0"/>
        <w:spacing w:after="60"/>
        <w:jc w:val="both"/>
        <w:rPr>
          <w:rFonts w:ascii="Arial" w:hAnsi="Arial" w:cs="Arial"/>
          <w:lang w:val="en-GB"/>
        </w:rPr>
      </w:pPr>
      <w:r w:rsidRPr="0090445E">
        <w:rPr>
          <w:rFonts w:ascii="Arial" w:hAnsi="Arial" w:cs="Arial"/>
          <w:lang w:val="en-GB"/>
        </w:rPr>
        <w:t>(</w:t>
      </w:r>
      <w:r w:rsidR="003A68A2" w:rsidRPr="0090445E">
        <w:rPr>
          <w:rFonts w:ascii="Arial" w:hAnsi="Arial" w:cs="Arial"/>
          <w:lang w:val="en-GB"/>
        </w:rPr>
        <w:t>11</w:t>
      </w:r>
      <w:r w:rsidRPr="0090445E">
        <w:rPr>
          <w:rFonts w:ascii="Arial" w:hAnsi="Arial" w:cs="Arial"/>
          <w:lang w:val="en-GB"/>
        </w:rPr>
        <w:t xml:space="preserve">) </w:t>
      </w:r>
      <w:r w:rsidR="002C0AE7" w:rsidRPr="0090445E">
        <w:rPr>
          <w:rFonts w:ascii="Arial" w:hAnsi="Arial" w:cs="Arial"/>
          <w:lang w:val="en-GB"/>
        </w:rPr>
        <w:t xml:space="preserve">For 2022 the minimum capacity </w:t>
      </w:r>
      <w:r w:rsidR="00281710" w:rsidRPr="0090445E">
        <w:rPr>
          <w:rFonts w:ascii="Arial" w:hAnsi="Arial" w:cs="Arial"/>
          <w:lang w:val="en-GB"/>
        </w:rPr>
        <w:t xml:space="preserve">that was </w:t>
      </w:r>
      <w:r w:rsidR="006F4468" w:rsidRPr="0090445E">
        <w:rPr>
          <w:rFonts w:ascii="Arial" w:hAnsi="Arial" w:cs="Arial"/>
          <w:lang w:val="en-GB"/>
        </w:rPr>
        <w:t>foreseen</w:t>
      </w:r>
      <w:r w:rsidRPr="0090445E">
        <w:rPr>
          <w:rFonts w:ascii="Arial" w:hAnsi="Arial" w:cs="Arial"/>
          <w:lang w:val="en-GB"/>
        </w:rPr>
        <w:t xml:space="preserve"> to be </w:t>
      </w:r>
      <w:r w:rsidR="006E0A1D" w:rsidRPr="0090445E">
        <w:rPr>
          <w:rFonts w:ascii="Arial" w:hAnsi="Arial" w:cs="Arial"/>
          <w:lang w:val="en-GB"/>
        </w:rPr>
        <w:t xml:space="preserve">made </w:t>
      </w:r>
      <w:r w:rsidR="002C0AE7" w:rsidRPr="0090445E">
        <w:rPr>
          <w:rFonts w:ascii="Arial" w:hAnsi="Arial" w:cs="Arial"/>
          <w:lang w:val="en-GB"/>
        </w:rPr>
        <w:t>available for cross-zonal trade on</w:t>
      </w:r>
      <w:r w:rsidR="00281710" w:rsidRPr="0090445E">
        <w:rPr>
          <w:rFonts w:ascii="Arial" w:hAnsi="Arial" w:cs="Arial"/>
          <w:lang w:val="en-GB"/>
        </w:rPr>
        <w:t xml:space="preserve"> the</w:t>
      </w:r>
      <w:r w:rsidR="002C0AE7" w:rsidRPr="0090445E">
        <w:rPr>
          <w:rFonts w:ascii="Arial" w:hAnsi="Arial" w:cs="Arial"/>
          <w:lang w:val="en-GB"/>
        </w:rPr>
        <w:t xml:space="preserve"> Romania – Hungary border </w:t>
      </w:r>
      <w:r w:rsidRPr="0090445E">
        <w:rPr>
          <w:rFonts w:ascii="Arial" w:hAnsi="Arial" w:cs="Arial"/>
          <w:lang w:val="en-GB"/>
        </w:rPr>
        <w:t>was</w:t>
      </w:r>
      <w:r w:rsidR="002C0AE7" w:rsidRPr="0090445E">
        <w:rPr>
          <w:rFonts w:ascii="Arial" w:hAnsi="Arial" w:cs="Arial"/>
          <w:lang w:val="en-GB"/>
        </w:rPr>
        <w:t xml:space="preserve"> 980 MW (representing 41% </w:t>
      </w:r>
      <w:r w:rsidR="00E96CE3" w:rsidRPr="0090445E">
        <w:rPr>
          <w:rFonts w:ascii="Arial" w:hAnsi="Arial" w:cs="Arial"/>
          <w:lang w:val="en-GB"/>
        </w:rPr>
        <w:t xml:space="preserve">of </w:t>
      </w:r>
      <w:r w:rsidR="002C0AE7" w:rsidRPr="0090445E">
        <w:rPr>
          <w:rFonts w:ascii="Arial" w:hAnsi="Arial" w:cs="Arial"/>
          <w:lang w:val="en-GB"/>
        </w:rPr>
        <w:t xml:space="preserve">the transmission capacity), respectively 1230 MW on Romania – Bulgaria border (representing 34% </w:t>
      </w:r>
      <w:r w:rsidR="00E96CE3" w:rsidRPr="0090445E">
        <w:rPr>
          <w:rFonts w:ascii="Arial" w:hAnsi="Arial" w:cs="Arial"/>
          <w:lang w:val="en-GB"/>
        </w:rPr>
        <w:t xml:space="preserve">of </w:t>
      </w:r>
      <w:r w:rsidR="002C0AE7" w:rsidRPr="0090445E">
        <w:rPr>
          <w:rFonts w:ascii="Arial" w:hAnsi="Arial" w:cs="Arial"/>
          <w:lang w:val="en-GB"/>
        </w:rPr>
        <w:t xml:space="preserve">the transmission capacity). </w:t>
      </w:r>
      <w:r w:rsidR="00E96CE3" w:rsidRPr="0090445E">
        <w:rPr>
          <w:rFonts w:ascii="Arial" w:hAnsi="Arial" w:cs="Arial"/>
          <w:lang w:val="en-GB"/>
        </w:rPr>
        <w:t xml:space="preserve">On the premises of maintaining the operational security, pursuant to article 16(9) of the Regulation (EU) 2019/943, Transelectrica SA submitted a request for derogation from the obligations laid down under Article 16(8) of the Regulation (EU) 2019/943 for the Romania – Hungary border for the year 2022. The Decision of ANRE no. 59 from 02.02.2022 granted the derogation for Transelectrica SA from the obligations laid down under Article 16(8) of the Regulation (EU) 2019/943 with the obligation of maintaining the available minimum capacity for cross-zonal trade at the level of 33% of the transmission capacity for the Romania – Hungary border. For the Romania – Bulgaria border there </w:t>
      </w:r>
      <w:r w:rsidR="003A68A2" w:rsidRPr="0090445E">
        <w:rPr>
          <w:rFonts w:ascii="Arial" w:hAnsi="Arial" w:cs="Arial"/>
          <w:lang w:val="en-GB"/>
        </w:rPr>
        <w:t xml:space="preserve">had </w:t>
      </w:r>
      <w:r w:rsidR="00E96CE3" w:rsidRPr="0090445E">
        <w:rPr>
          <w:rFonts w:ascii="Arial" w:hAnsi="Arial" w:cs="Arial"/>
          <w:lang w:val="en-GB"/>
        </w:rPr>
        <w:t>not been a request for derogation for the year 2022.</w:t>
      </w:r>
      <w:r w:rsidR="00751B8F">
        <w:rPr>
          <w:rFonts w:ascii="Arial" w:hAnsi="Arial" w:cs="Arial"/>
          <w:lang w:val="en-GB"/>
        </w:rPr>
        <w:t xml:space="preserve"> Through the Decision no. 799 fro</w:t>
      </w:r>
      <w:r w:rsidR="00A33B77">
        <w:rPr>
          <w:rFonts w:ascii="Arial" w:hAnsi="Arial" w:cs="Arial"/>
          <w:lang w:val="en-GB"/>
        </w:rPr>
        <w:t>m</w:t>
      </w:r>
      <w:r w:rsidR="00751B8F">
        <w:rPr>
          <w:rFonts w:ascii="Arial" w:hAnsi="Arial" w:cs="Arial"/>
          <w:lang w:val="en-GB"/>
        </w:rPr>
        <w:t xml:space="preserve"> 24.04.2024, ANRE approved the “Annual </w:t>
      </w:r>
      <w:r w:rsidR="00751B8F" w:rsidRPr="00751B8F">
        <w:rPr>
          <w:rFonts w:ascii="Arial" w:hAnsi="Arial" w:cs="Arial"/>
          <w:lang w:val="en-GB"/>
        </w:rPr>
        <w:t>monitoring report on the maximum available capacity for cross-border trade for the ye</w:t>
      </w:r>
      <w:r w:rsidR="00751B8F">
        <w:rPr>
          <w:rFonts w:ascii="Arial" w:hAnsi="Arial" w:cs="Arial"/>
          <w:lang w:val="en-GB"/>
        </w:rPr>
        <w:t>ar 2022, in accordance with Article 15</w:t>
      </w:r>
      <w:r w:rsidR="00751B8F" w:rsidRPr="00751B8F">
        <w:rPr>
          <w:rFonts w:ascii="Arial" w:hAnsi="Arial" w:cs="Arial"/>
          <w:lang w:val="en-GB"/>
        </w:rPr>
        <w:t>(4) of Regulation (EU) 2019/943 of the European Parliament and of the Council of June 5, 2019 on the internal market for electricity".</w:t>
      </w:r>
    </w:p>
    <w:p w14:paraId="5C5898AD" w14:textId="6DA10EE7" w:rsidR="001154B6" w:rsidRPr="0090445E" w:rsidRDefault="00E96CE3" w:rsidP="00C51B11">
      <w:pPr>
        <w:widowControl w:val="0"/>
        <w:spacing w:after="120"/>
        <w:jc w:val="both"/>
        <w:rPr>
          <w:rFonts w:ascii="Arial" w:hAnsi="Arial" w:cs="Arial"/>
          <w:lang w:val="en-GB"/>
        </w:rPr>
      </w:pPr>
      <w:r w:rsidRPr="0090445E">
        <w:rPr>
          <w:rFonts w:ascii="Arial" w:hAnsi="Arial" w:cs="Arial"/>
          <w:lang w:val="en-GB"/>
        </w:rPr>
        <w:t>(</w:t>
      </w:r>
      <w:r w:rsidR="003A68A2" w:rsidRPr="0090445E">
        <w:rPr>
          <w:rFonts w:ascii="Arial" w:hAnsi="Arial" w:cs="Arial"/>
          <w:lang w:val="en-GB"/>
        </w:rPr>
        <w:t>12</w:t>
      </w:r>
      <w:r w:rsidRPr="0090445E">
        <w:rPr>
          <w:rFonts w:ascii="Arial" w:hAnsi="Arial" w:cs="Arial"/>
          <w:lang w:val="en-GB"/>
        </w:rPr>
        <w:t>) For 2023 the minimum capacity that ha</w:t>
      </w:r>
      <w:r w:rsidR="00FC5621" w:rsidRPr="0090445E">
        <w:rPr>
          <w:rFonts w:ascii="Arial" w:hAnsi="Arial" w:cs="Arial"/>
          <w:lang w:val="en-GB"/>
        </w:rPr>
        <w:t>d</w:t>
      </w:r>
      <w:r w:rsidRPr="0090445E">
        <w:rPr>
          <w:rFonts w:ascii="Arial" w:hAnsi="Arial" w:cs="Arial"/>
          <w:lang w:val="en-GB"/>
        </w:rPr>
        <w:t xml:space="preserve"> to be made available for cross-zonal trade on Romania – Hungary border </w:t>
      </w:r>
      <w:r w:rsidR="00FC5621" w:rsidRPr="0090445E">
        <w:rPr>
          <w:rFonts w:ascii="Arial" w:hAnsi="Arial" w:cs="Arial"/>
          <w:lang w:val="en-GB"/>
        </w:rPr>
        <w:t xml:space="preserve">was </w:t>
      </w:r>
      <w:r w:rsidRPr="0090445E">
        <w:rPr>
          <w:rFonts w:ascii="Arial" w:hAnsi="Arial" w:cs="Arial"/>
          <w:lang w:val="en-GB"/>
        </w:rPr>
        <w:t>1160 MW (representing 48% of the transmission capacity), respectively 1560 MW on Romania – Bulgaria border (representing 43% of the transmission capacity).</w:t>
      </w:r>
      <w:r w:rsidR="00FC5621" w:rsidRPr="0090445E">
        <w:rPr>
          <w:rFonts w:ascii="Arial" w:hAnsi="Arial" w:cs="Arial"/>
          <w:lang w:val="en-GB"/>
        </w:rPr>
        <w:t xml:space="preserve"> For this year, CNTEE Transelectrica SA applied for a derogation </w:t>
      </w:r>
      <w:r w:rsidR="003A68A2" w:rsidRPr="0090445E">
        <w:rPr>
          <w:rFonts w:ascii="Arial" w:hAnsi="Arial" w:cs="Arial"/>
          <w:lang w:val="en-GB"/>
        </w:rPr>
        <w:t>from the obligations laid down under Article 16(8) of the Regulation (EU) 2019/943 for the Romania – Hungary border, in accordance with Article 16(9) of the Regulation (EU) 2019/943. The Decision of ANRE no. 2359 from 28.12.2022 granted the derogation for</w:t>
      </w:r>
      <w:r w:rsidR="00F1092D">
        <w:rPr>
          <w:rFonts w:ascii="Arial" w:hAnsi="Arial" w:cs="Arial"/>
          <w:lang w:val="en-GB"/>
        </w:rPr>
        <w:t xml:space="preserve"> CNTEE</w:t>
      </w:r>
      <w:r w:rsidR="003A68A2" w:rsidRPr="0090445E">
        <w:rPr>
          <w:rFonts w:ascii="Arial" w:hAnsi="Arial" w:cs="Arial"/>
          <w:lang w:val="en-GB"/>
        </w:rPr>
        <w:t xml:space="preserve"> Transelectrica SA from the obligations laid down under Article 16(8) of the Regulation (EU) 2019/943 with the obligation of maintaining the available minimum capacity for cross-zonal trade at 800 MW (meaning the level of 33% of the transmission capacity) for the Romania – Hungary border in 2023. For Romania – Bulgaria border CNTEE Transelectrica SA did not request a derogation, meaning that the cross-zonal trade level </w:t>
      </w:r>
      <w:r w:rsidR="00F808AC" w:rsidRPr="0090445E">
        <w:rPr>
          <w:rFonts w:ascii="Arial" w:hAnsi="Arial" w:cs="Arial"/>
          <w:lang w:val="en-GB"/>
        </w:rPr>
        <w:t>target was set</w:t>
      </w:r>
      <w:r w:rsidR="003A68A2" w:rsidRPr="0090445E">
        <w:rPr>
          <w:rFonts w:ascii="Arial" w:hAnsi="Arial" w:cs="Arial"/>
          <w:lang w:val="en-GB"/>
        </w:rPr>
        <w:t xml:space="preserve"> at 1560 MW (43% of the transmission capacity).</w:t>
      </w:r>
      <w:r w:rsidR="00313367" w:rsidRPr="0090445E">
        <w:rPr>
          <w:rFonts w:ascii="Arial" w:hAnsi="Arial" w:cs="Arial"/>
          <w:lang w:val="en-GB"/>
        </w:rPr>
        <w:t xml:space="preserve"> The annual monitoring report on the maximum available capacity for cross-border trade for 2023 has been submitted to ANRE for approval.</w:t>
      </w:r>
    </w:p>
    <w:p w14:paraId="3DA8C560" w14:textId="1A549D50" w:rsidR="003A68A2" w:rsidRPr="0090445E" w:rsidRDefault="003A68A2" w:rsidP="00C51B11">
      <w:pPr>
        <w:widowControl w:val="0"/>
        <w:spacing w:after="120"/>
        <w:jc w:val="both"/>
        <w:rPr>
          <w:rFonts w:ascii="Arial" w:hAnsi="Arial" w:cs="Arial"/>
          <w:lang w:val="en-GB"/>
        </w:rPr>
      </w:pPr>
      <w:r w:rsidRPr="0090445E">
        <w:rPr>
          <w:rFonts w:ascii="Arial" w:hAnsi="Arial" w:cs="Arial"/>
          <w:lang w:val="en-GB"/>
        </w:rPr>
        <w:t xml:space="preserve">(13) For 2024 there is a minimum available capacity </w:t>
      </w:r>
      <w:r w:rsidR="006F4468" w:rsidRPr="0090445E">
        <w:rPr>
          <w:rFonts w:ascii="Arial" w:hAnsi="Arial" w:cs="Arial"/>
          <w:lang w:val="en-GB"/>
        </w:rPr>
        <w:t>foreseen</w:t>
      </w:r>
      <w:r w:rsidRPr="0090445E">
        <w:rPr>
          <w:rFonts w:ascii="Arial" w:hAnsi="Arial" w:cs="Arial"/>
          <w:lang w:val="en-GB"/>
        </w:rPr>
        <w:t xml:space="preserve"> for cross-zonal trade </w:t>
      </w:r>
      <w:r w:rsidR="003D193B">
        <w:rPr>
          <w:rFonts w:ascii="Arial" w:hAnsi="Arial" w:cs="Arial"/>
          <w:lang w:val="en-GB"/>
        </w:rPr>
        <w:t xml:space="preserve">of </w:t>
      </w:r>
      <w:r w:rsidRPr="0090445E">
        <w:rPr>
          <w:rFonts w:ascii="Arial" w:hAnsi="Arial" w:cs="Arial"/>
          <w:lang w:val="en-GB"/>
        </w:rPr>
        <w:t>1</w:t>
      </w:r>
      <w:r w:rsidR="003C6D01" w:rsidRPr="0090445E">
        <w:rPr>
          <w:rFonts w:ascii="Arial" w:hAnsi="Arial" w:cs="Arial"/>
          <w:lang w:val="en-GB"/>
        </w:rPr>
        <w:t>340</w:t>
      </w:r>
      <w:r w:rsidRPr="0090445E">
        <w:rPr>
          <w:rFonts w:ascii="Arial" w:hAnsi="Arial" w:cs="Arial"/>
          <w:lang w:val="en-GB"/>
        </w:rPr>
        <w:t xml:space="preserve"> MW on Romania – Hungary border (</w:t>
      </w:r>
      <w:r w:rsidR="00A33B77">
        <w:rPr>
          <w:rFonts w:ascii="Arial" w:hAnsi="Arial" w:cs="Arial"/>
          <w:lang w:val="en-GB"/>
        </w:rPr>
        <w:t xml:space="preserve">representing </w:t>
      </w:r>
      <w:r w:rsidR="003C6D01" w:rsidRPr="0090445E">
        <w:rPr>
          <w:rFonts w:ascii="Arial" w:hAnsi="Arial" w:cs="Arial"/>
          <w:lang w:val="en-GB"/>
        </w:rPr>
        <w:t>55</w:t>
      </w:r>
      <w:r w:rsidRPr="0090445E">
        <w:rPr>
          <w:rFonts w:ascii="Arial" w:hAnsi="Arial" w:cs="Arial"/>
          <w:lang w:val="en-GB"/>
        </w:rPr>
        <w:t>% of the transmission capacity) and 1</w:t>
      </w:r>
      <w:r w:rsidR="003C6D01" w:rsidRPr="0090445E">
        <w:rPr>
          <w:rFonts w:ascii="Arial" w:hAnsi="Arial" w:cs="Arial"/>
          <w:lang w:val="en-GB"/>
        </w:rPr>
        <w:t>89</w:t>
      </w:r>
      <w:r w:rsidRPr="0090445E">
        <w:rPr>
          <w:rFonts w:ascii="Arial" w:hAnsi="Arial" w:cs="Arial"/>
          <w:lang w:val="en-GB"/>
        </w:rPr>
        <w:t>0 MW</w:t>
      </w:r>
      <w:r w:rsidR="003C6D01" w:rsidRPr="0090445E">
        <w:rPr>
          <w:rFonts w:ascii="Arial" w:hAnsi="Arial" w:cs="Arial"/>
          <w:lang w:val="en-GB"/>
        </w:rPr>
        <w:t xml:space="preserve"> on Romania – Bulgaria border (</w:t>
      </w:r>
      <w:r w:rsidR="00A33B77">
        <w:rPr>
          <w:rFonts w:ascii="Arial" w:hAnsi="Arial" w:cs="Arial"/>
          <w:lang w:val="en-GB"/>
        </w:rPr>
        <w:t xml:space="preserve">representing </w:t>
      </w:r>
      <w:r w:rsidR="003C6D01" w:rsidRPr="0090445E">
        <w:rPr>
          <w:rFonts w:ascii="Arial" w:hAnsi="Arial" w:cs="Arial"/>
          <w:lang w:val="en-GB"/>
        </w:rPr>
        <w:t>52% of the transmission capacity).</w:t>
      </w:r>
      <w:r w:rsidRPr="0090445E">
        <w:rPr>
          <w:rFonts w:ascii="Arial" w:hAnsi="Arial" w:cs="Arial"/>
          <w:lang w:val="en-GB"/>
        </w:rPr>
        <w:t xml:space="preserve"> </w:t>
      </w:r>
      <w:r w:rsidR="00313367" w:rsidRPr="0090445E">
        <w:rPr>
          <w:rFonts w:ascii="Arial" w:hAnsi="Arial" w:cs="Arial"/>
          <w:lang w:val="en-GB"/>
        </w:rPr>
        <w:lastRenderedPageBreak/>
        <w:t xml:space="preserve">For this year, CNTEE Transelectrica SA applied for a derogation from the obligations laid down under Article 16(8) of the Regulation (EU) 2019/943 for the Romania – Hungary border, in accordance with Article 16(9) of the Regulation (EU) 2019/943. The Decision of ANRE no. 2947 from 20.12.2023 granted the derogation for </w:t>
      </w:r>
      <w:r w:rsidR="00F1092D">
        <w:rPr>
          <w:rFonts w:ascii="Arial" w:hAnsi="Arial" w:cs="Arial"/>
          <w:lang w:val="en-GB"/>
        </w:rPr>
        <w:t xml:space="preserve">CNTEE </w:t>
      </w:r>
      <w:r w:rsidR="00313367" w:rsidRPr="0090445E">
        <w:rPr>
          <w:rFonts w:ascii="Arial" w:hAnsi="Arial" w:cs="Arial"/>
          <w:lang w:val="en-GB"/>
        </w:rPr>
        <w:t>Transelectrica SA from the obligations laid down under Article 16(8) of the Regulation (EU) 2019/943 with the obligation of maintaining the available minimum capacity for cross-zonal trade at 800 MW (</w:t>
      </w:r>
      <w:r w:rsidR="00A33B77">
        <w:rPr>
          <w:rFonts w:ascii="Arial" w:hAnsi="Arial" w:cs="Arial"/>
          <w:lang w:val="en-GB"/>
        </w:rPr>
        <w:t xml:space="preserve">representing </w:t>
      </w:r>
      <w:r w:rsidR="00313367" w:rsidRPr="0090445E">
        <w:rPr>
          <w:rFonts w:ascii="Arial" w:hAnsi="Arial" w:cs="Arial"/>
          <w:lang w:val="en-GB"/>
        </w:rPr>
        <w:t>33% of the transmission capacity) for the Romania – Hungary border and 1560 MW (representing 43% of the transmission capacity) for Romania – Bulgaria border in 2024.</w:t>
      </w:r>
    </w:p>
    <w:p w14:paraId="49EE5E40" w14:textId="262BFD13" w:rsidR="006F4468" w:rsidRPr="0090445E" w:rsidRDefault="00771331" w:rsidP="00C51B11">
      <w:pPr>
        <w:widowControl w:val="0"/>
        <w:spacing w:after="120"/>
        <w:jc w:val="both"/>
        <w:rPr>
          <w:rFonts w:ascii="Arial" w:hAnsi="Arial" w:cs="Arial"/>
          <w:lang w:val="en-GB"/>
        </w:rPr>
      </w:pPr>
      <w:r w:rsidRPr="0090445E">
        <w:rPr>
          <w:rFonts w:ascii="Arial" w:hAnsi="Arial" w:cs="Arial"/>
          <w:lang w:val="en-GB"/>
        </w:rPr>
        <w:t>(</w:t>
      </w:r>
      <w:r w:rsidR="003A68A2" w:rsidRPr="0090445E">
        <w:rPr>
          <w:rFonts w:ascii="Arial" w:hAnsi="Arial" w:cs="Arial"/>
          <w:lang w:val="en-GB"/>
        </w:rPr>
        <w:t>14</w:t>
      </w:r>
      <w:r w:rsidRPr="0090445E">
        <w:rPr>
          <w:rFonts w:ascii="Arial" w:hAnsi="Arial" w:cs="Arial"/>
          <w:lang w:val="en-GB"/>
        </w:rPr>
        <w:t xml:space="preserve">) </w:t>
      </w:r>
      <w:r w:rsidR="006F4468" w:rsidRPr="0090445E">
        <w:rPr>
          <w:rFonts w:ascii="Arial" w:hAnsi="Arial" w:cs="Arial"/>
          <w:lang w:val="en-GB"/>
        </w:rPr>
        <w:t xml:space="preserve">For 2025 there is a minimum available capacity foreseen for cross-zonal trade of 1520 MW </w:t>
      </w:r>
      <w:r w:rsidR="00682B55" w:rsidRPr="0090445E">
        <w:rPr>
          <w:rFonts w:ascii="Arial" w:hAnsi="Arial" w:cs="Arial"/>
          <w:lang w:val="en-GB"/>
        </w:rPr>
        <w:t>(representing 63% of the transmission capacity) for Romania – Hungary border</w:t>
      </w:r>
      <w:r w:rsidR="005B74B8" w:rsidRPr="0090445E">
        <w:rPr>
          <w:rFonts w:ascii="Arial" w:hAnsi="Arial" w:cs="Arial"/>
          <w:lang w:val="en-GB"/>
        </w:rPr>
        <w:t>, respectively 2220 MW (representing 61% of the transmission capacity) for Romania – Bulgaria border.</w:t>
      </w:r>
    </w:p>
    <w:p w14:paraId="640236FB" w14:textId="746769F2" w:rsidR="00771331" w:rsidRPr="0090445E" w:rsidRDefault="006F4468" w:rsidP="00C51B11">
      <w:pPr>
        <w:widowControl w:val="0"/>
        <w:spacing w:after="120"/>
        <w:jc w:val="both"/>
        <w:rPr>
          <w:rFonts w:ascii="Arial" w:hAnsi="Arial" w:cs="Arial"/>
          <w:lang w:val="en-GB"/>
        </w:rPr>
      </w:pPr>
      <w:r w:rsidRPr="0090445E">
        <w:rPr>
          <w:rFonts w:ascii="Arial" w:hAnsi="Arial" w:cs="Arial"/>
          <w:lang w:val="en-GB"/>
        </w:rPr>
        <w:t xml:space="preserve">(15) </w:t>
      </w:r>
      <w:r w:rsidR="00771331" w:rsidRPr="0090445E">
        <w:rPr>
          <w:rFonts w:ascii="Arial" w:hAnsi="Arial" w:cs="Arial"/>
          <w:lang w:val="en-GB"/>
        </w:rPr>
        <w:t xml:space="preserve">In this context and pursuant to Article 16(9) of the Regulation (EU) 2019/943, </w:t>
      </w:r>
      <w:r w:rsidR="00A33B77">
        <w:rPr>
          <w:rFonts w:ascii="Arial" w:hAnsi="Arial" w:cs="Arial"/>
          <w:lang w:val="en-GB"/>
        </w:rPr>
        <w:t xml:space="preserve">CNTEE </w:t>
      </w:r>
      <w:r w:rsidR="00771331" w:rsidRPr="0090445E">
        <w:rPr>
          <w:rFonts w:ascii="Arial" w:hAnsi="Arial" w:cs="Arial"/>
          <w:lang w:val="en-GB"/>
        </w:rPr>
        <w:t xml:space="preserve">Transelectrica SA </w:t>
      </w:r>
      <w:r w:rsidR="00CA5B02" w:rsidRPr="0090445E">
        <w:rPr>
          <w:rFonts w:ascii="Arial" w:hAnsi="Arial" w:cs="Arial"/>
          <w:lang w:val="en-GB"/>
        </w:rPr>
        <w:t>submit</w:t>
      </w:r>
      <w:r w:rsidR="00DF60FF" w:rsidRPr="0090445E">
        <w:rPr>
          <w:rFonts w:ascii="Arial" w:hAnsi="Arial" w:cs="Arial"/>
          <w:lang w:val="en-GB"/>
        </w:rPr>
        <w:t>s</w:t>
      </w:r>
      <w:r w:rsidR="00771331" w:rsidRPr="0090445E">
        <w:rPr>
          <w:rFonts w:ascii="Arial" w:hAnsi="Arial" w:cs="Arial"/>
          <w:lang w:val="en-GB"/>
        </w:rPr>
        <w:t xml:space="preserve"> the present request for derogation from the obligations laid down under Article 16(8) of the Regulation (EU) 2019/943 in relation to the bidding zone border</w:t>
      </w:r>
      <w:r w:rsidR="003C6D01" w:rsidRPr="0090445E">
        <w:rPr>
          <w:rFonts w:ascii="Arial" w:hAnsi="Arial" w:cs="Arial"/>
          <w:lang w:val="en-GB"/>
        </w:rPr>
        <w:t xml:space="preserve">s </w:t>
      </w:r>
      <w:r w:rsidR="00771331" w:rsidRPr="0090445E">
        <w:rPr>
          <w:rFonts w:ascii="Arial" w:hAnsi="Arial" w:cs="Arial"/>
          <w:lang w:val="en-GB"/>
        </w:rPr>
        <w:t xml:space="preserve">Romania – Hungary </w:t>
      </w:r>
      <w:r w:rsidR="003C6D01" w:rsidRPr="0090445E">
        <w:rPr>
          <w:rFonts w:ascii="Arial" w:hAnsi="Arial" w:cs="Arial"/>
          <w:lang w:val="en-GB"/>
        </w:rPr>
        <w:t xml:space="preserve">and Romania – Bulgaria </w:t>
      </w:r>
      <w:r w:rsidR="00771331" w:rsidRPr="0090445E">
        <w:rPr>
          <w:rFonts w:ascii="Arial" w:hAnsi="Arial" w:cs="Arial"/>
          <w:lang w:val="en-GB"/>
        </w:rPr>
        <w:t xml:space="preserve">for the year </w:t>
      </w:r>
      <w:r w:rsidR="003C6D01" w:rsidRPr="0090445E">
        <w:rPr>
          <w:rFonts w:ascii="Arial" w:hAnsi="Arial" w:cs="Arial"/>
          <w:lang w:val="en-GB"/>
        </w:rPr>
        <w:t>202</w:t>
      </w:r>
      <w:r w:rsidR="005B74B8" w:rsidRPr="0090445E">
        <w:rPr>
          <w:rFonts w:ascii="Arial" w:hAnsi="Arial" w:cs="Arial"/>
          <w:lang w:val="en-GB"/>
        </w:rPr>
        <w:t>5</w:t>
      </w:r>
      <w:r w:rsidR="00771331" w:rsidRPr="0090445E">
        <w:rPr>
          <w:rFonts w:ascii="Arial" w:hAnsi="Arial" w:cs="Arial"/>
          <w:lang w:val="en-GB"/>
        </w:rPr>
        <w:t>.</w:t>
      </w:r>
      <w:r w:rsidR="00E96CE3" w:rsidRPr="0090445E">
        <w:rPr>
          <w:rFonts w:ascii="Arial" w:hAnsi="Arial" w:cs="Arial"/>
          <w:lang w:val="en-GB"/>
        </w:rPr>
        <w:t xml:space="preserve"> </w:t>
      </w:r>
      <w:r w:rsidR="005B74B8" w:rsidRPr="0090445E">
        <w:rPr>
          <w:rFonts w:ascii="Arial" w:hAnsi="Arial" w:cs="Arial"/>
          <w:lang w:val="en-GB"/>
        </w:rPr>
        <w:t>In 2025,</w:t>
      </w:r>
      <w:r w:rsidR="00A33B77">
        <w:rPr>
          <w:rFonts w:ascii="Arial" w:hAnsi="Arial" w:cs="Arial"/>
          <w:lang w:val="en-GB"/>
        </w:rPr>
        <w:t xml:space="preserve"> CNTEE</w:t>
      </w:r>
      <w:r w:rsidR="005B74B8" w:rsidRPr="0090445E">
        <w:rPr>
          <w:rFonts w:ascii="Arial" w:hAnsi="Arial" w:cs="Arial"/>
          <w:lang w:val="en-GB"/>
        </w:rPr>
        <w:t xml:space="preserve"> Transelectrica SA will maintain the minimum capacity available for cross-border exchanges as follows:</w:t>
      </w:r>
    </w:p>
    <w:p w14:paraId="006762EA" w14:textId="63966E46" w:rsidR="005B74B8" w:rsidRPr="0090445E" w:rsidRDefault="005B74B8" w:rsidP="002010C2">
      <w:pPr>
        <w:pStyle w:val="ListParagraph"/>
        <w:widowControl w:val="0"/>
        <w:numPr>
          <w:ilvl w:val="0"/>
          <w:numId w:val="22"/>
        </w:numPr>
        <w:spacing w:after="0"/>
        <w:ind w:left="1134" w:hanging="357"/>
        <w:jc w:val="both"/>
        <w:rPr>
          <w:rFonts w:ascii="Arial" w:hAnsi="Arial" w:cs="Arial"/>
          <w:lang w:val="en-GB"/>
        </w:rPr>
      </w:pPr>
      <w:r w:rsidRPr="0090445E">
        <w:rPr>
          <w:rFonts w:ascii="Arial" w:hAnsi="Arial" w:cs="Arial"/>
          <w:lang w:val="en-GB"/>
        </w:rPr>
        <w:t>980 MW, representing 41% of the transmission capacity, for Romania – Hungary border;</w:t>
      </w:r>
    </w:p>
    <w:p w14:paraId="1D11598F" w14:textId="42D312C2" w:rsidR="005B74B8" w:rsidRPr="002010C2" w:rsidRDefault="005B74B8" w:rsidP="002010C2">
      <w:pPr>
        <w:pStyle w:val="ListParagraph"/>
        <w:widowControl w:val="0"/>
        <w:numPr>
          <w:ilvl w:val="0"/>
          <w:numId w:val="22"/>
        </w:numPr>
        <w:ind w:left="1134" w:hanging="357"/>
        <w:jc w:val="both"/>
        <w:rPr>
          <w:rFonts w:ascii="Arial" w:hAnsi="Arial" w:cs="Arial"/>
          <w:lang w:val="en-GB"/>
        </w:rPr>
      </w:pPr>
      <w:r w:rsidRPr="0090445E">
        <w:rPr>
          <w:rFonts w:ascii="Arial" w:hAnsi="Arial" w:cs="Arial"/>
          <w:lang w:val="en-GB"/>
        </w:rPr>
        <w:t>1890 MW, representing 52% of the transmission capacity, for Romania – Bulgaria border.</w:t>
      </w:r>
    </w:p>
    <w:p w14:paraId="0098796E" w14:textId="2D39F900" w:rsidR="005B74B8" w:rsidRPr="0090445E" w:rsidRDefault="00771331" w:rsidP="00C51B11">
      <w:pPr>
        <w:widowControl w:val="0"/>
        <w:spacing w:after="120"/>
        <w:jc w:val="both"/>
        <w:rPr>
          <w:rFonts w:ascii="Arial" w:hAnsi="Arial" w:cs="Arial"/>
          <w:lang w:val="en-GB"/>
        </w:rPr>
      </w:pPr>
      <w:r w:rsidRPr="0090445E">
        <w:rPr>
          <w:rFonts w:ascii="Arial" w:hAnsi="Arial" w:cs="Arial"/>
          <w:lang w:val="en-GB"/>
        </w:rPr>
        <w:t>(</w:t>
      </w:r>
      <w:r w:rsidR="003C6D01" w:rsidRPr="0090445E">
        <w:rPr>
          <w:rFonts w:ascii="Arial" w:hAnsi="Arial" w:cs="Arial"/>
          <w:lang w:val="en-GB"/>
        </w:rPr>
        <w:t>1</w:t>
      </w:r>
      <w:r w:rsidR="006F4468" w:rsidRPr="0090445E">
        <w:rPr>
          <w:rFonts w:ascii="Arial" w:hAnsi="Arial" w:cs="Arial"/>
          <w:lang w:val="en-GB"/>
        </w:rPr>
        <w:t>6</w:t>
      </w:r>
      <w:r w:rsidRPr="0090445E">
        <w:rPr>
          <w:rFonts w:ascii="Arial" w:hAnsi="Arial" w:cs="Arial"/>
          <w:lang w:val="en-GB"/>
        </w:rPr>
        <w:t>) The national regulatory authorities (hereinafter referred to as “NRAs”) adopted on 29</w:t>
      </w:r>
      <w:r w:rsidRPr="0090445E">
        <w:rPr>
          <w:rFonts w:ascii="Arial" w:hAnsi="Arial" w:cs="Arial"/>
          <w:vertAlign w:val="superscript"/>
          <w:lang w:val="en-GB"/>
        </w:rPr>
        <w:t>th</w:t>
      </w:r>
      <w:r w:rsidRPr="0090445E">
        <w:rPr>
          <w:rFonts w:ascii="Arial" w:hAnsi="Arial" w:cs="Arial"/>
          <w:lang w:val="en-GB"/>
        </w:rPr>
        <w:t xml:space="preserve"> </w:t>
      </w:r>
      <w:r w:rsidR="00E96CE3" w:rsidRPr="0090445E">
        <w:rPr>
          <w:rFonts w:ascii="Arial" w:hAnsi="Arial" w:cs="Arial"/>
          <w:lang w:val="en-GB"/>
        </w:rPr>
        <w:t xml:space="preserve">of </w:t>
      </w:r>
      <w:r w:rsidRPr="0090445E">
        <w:rPr>
          <w:rFonts w:ascii="Arial" w:hAnsi="Arial" w:cs="Arial"/>
          <w:lang w:val="en-GB"/>
        </w:rPr>
        <w:t xml:space="preserve">June 2020 a common note, which gives guidance for the TSOs on the necessary content of derogation requests in line with Article 16(9) of the Regulation 2019/943 as well as the assessment criteria. This request for derogation prepared by </w:t>
      </w:r>
      <w:r w:rsidR="00A33B77">
        <w:rPr>
          <w:rFonts w:ascii="Arial" w:hAnsi="Arial" w:cs="Arial"/>
          <w:lang w:val="en-GB"/>
        </w:rPr>
        <w:t xml:space="preserve">CNTEE </w:t>
      </w:r>
      <w:r w:rsidRPr="0090445E">
        <w:rPr>
          <w:rFonts w:ascii="Arial" w:hAnsi="Arial" w:cs="Arial"/>
          <w:lang w:val="en-GB"/>
        </w:rPr>
        <w:t>Transelectrica SA takes into account the requirements of the common NRAs’ note.</w:t>
      </w:r>
    </w:p>
    <w:p w14:paraId="53A6C226" w14:textId="40E76245" w:rsidR="002F1DC2" w:rsidRPr="0090445E" w:rsidRDefault="002F1DC2" w:rsidP="002B0DDE">
      <w:pPr>
        <w:widowControl w:val="0"/>
        <w:spacing w:before="240" w:after="240"/>
        <w:ind w:firstLine="720"/>
        <w:jc w:val="both"/>
        <w:rPr>
          <w:rFonts w:ascii="Arial" w:hAnsi="Arial" w:cs="Arial"/>
          <w:b/>
          <w:lang w:val="en-GB"/>
        </w:rPr>
      </w:pPr>
      <w:r w:rsidRPr="0090445E">
        <w:rPr>
          <w:rFonts w:ascii="Arial" w:hAnsi="Arial" w:cs="Arial"/>
          <w:b/>
          <w:lang w:val="en-GB"/>
        </w:rPr>
        <w:t>Article 1</w:t>
      </w:r>
      <w:r w:rsidR="00AA5B3B" w:rsidRPr="0090445E">
        <w:rPr>
          <w:rFonts w:ascii="Arial" w:hAnsi="Arial" w:cs="Arial"/>
          <w:b/>
          <w:lang w:val="en-GB"/>
        </w:rPr>
        <w:t>.</w:t>
      </w:r>
      <w:r w:rsidRPr="0090445E">
        <w:rPr>
          <w:rFonts w:ascii="Arial" w:hAnsi="Arial" w:cs="Arial"/>
          <w:b/>
          <w:lang w:val="en-GB"/>
        </w:rPr>
        <w:t xml:space="preserve"> Subject Matter and Scope</w:t>
      </w:r>
    </w:p>
    <w:p w14:paraId="5F1F4E9A" w14:textId="1B1A9B5C" w:rsidR="009D6816" w:rsidRPr="0090445E" w:rsidRDefault="009D6816" w:rsidP="002B0DDE">
      <w:pPr>
        <w:widowControl w:val="0"/>
        <w:spacing w:after="120"/>
        <w:jc w:val="both"/>
        <w:rPr>
          <w:rFonts w:ascii="Arial" w:hAnsi="Arial" w:cs="Arial"/>
          <w:lang w:val="en-GB"/>
        </w:rPr>
      </w:pPr>
      <w:r w:rsidRPr="0090445E">
        <w:rPr>
          <w:rFonts w:ascii="Arial" w:hAnsi="Arial" w:cs="Arial"/>
          <w:lang w:val="en-GB"/>
        </w:rPr>
        <w:t xml:space="preserve">(1) </w:t>
      </w:r>
      <w:r w:rsidR="00666875" w:rsidRPr="0090445E">
        <w:rPr>
          <w:rFonts w:ascii="Arial" w:hAnsi="Arial" w:cs="Arial"/>
          <w:lang w:val="en-GB"/>
        </w:rPr>
        <w:t>This document constitutes</w:t>
      </w:r>
      <w:r w:rsidR="00E96CE3" w:rsidRPr="0090445E">
        <w:rPr>
          <w:rFonts w:ascii="Arial" w:hAnsi="Arial" w:cs="Arial"/>
          <w:lang w:val="en-GB"/>
        </w:rPr>
        <w:t xml:space="preserve"> a</w:t>
      </w:r>
      <w:r w:rsidR="00666875" w:rsidRPr="0090445E">
        <w:rPr>
          <w:rFonts w:ascii="Arial" w:hAnsi="Arial" w:cs="Arial"/>
          <w:lang w:val="en-GB"/>
        </w:rPr>
        <w:t xml:space="preserve"> </w:t>
      </w:r>
      <w:r w:rsidR="006C1FB2" w:rsidRPr="0090445E">
        <w:rPr>
          <w:rFonts w:ascii="Arial" w:hAnsi="Arial" w:cs="Arial"/>
          <w:lang w:val="en-GB"/>
        </w:rPr>
        <w:t>request for</w:t>
      </w:r>
      <w:r w:rsidR="00666875" w:rsidRPr="0090445E">
        <w:rPr>
          <w:rFonts w:ascii="Arial" w:hAnsi="Arial" w:cs="Arial"/>
          <w:lang w:val="en-GB"/>
        </w:rPr>
        <w:t xml:space="preserve"> </w:t>
      </w:r>
      <w:r w:rsidR="006C1FB2" w:rsidRPr="0090445E">
        <w:rPr>
          <w:rFonts w:ascii="Arial" w:hAnsi="Arial" w:cs="Arial"/>
          <w:lang w:val="en-GB"/>
        </w:rPr>
        <w:t xml:space="preserve">derogation </w:t>
      </w:r>
      <w:r w:rsidR="00666875" w:rsidRPr="0090445E">
        <w:rPr>
          <w:rFonts w:ascii="Arial" w:hAnsi="Arial" w:cs="Arial"/>
          <w:lang w:val="en-GB"/>
        </w:rPr>
        <w:t>for</w:t>
      </w:r>
      <w:r w:rsidR="00E96CE3" w:rsidRPr="0090445E">
        <w:rPr>
          <w:rFonts w:ascii="Arial" w:hAnsi="Arial" w:cs="Arial"/>
          <w:lang w:val="en-GB"/>
        </w:rPr>
        <w:t xml:space="preserve"> the</w:t>
      </w:r>
      <w:r w:rsidR="00666875" w:rsidRPr="0090445E">
        <w:rPr>
          <w:rFonts w:ascii="Arial" w:hAnsi="Arial" w:cs="Arial"/>
          <w:lang w:val="en-GB"/>
        </w:rPr>
        <w:t xml:space="preserve"> year </w:t>
      </w:r>
      <w:r w:rsidR="003C6D01" w:rsidRPr="0090445E">
        <w:rPr>
          <w:rFonts w:ascii="Arial" w:hAnsi="Arial" w:cs="Arial"/>
          <w:lang w:val="en-GB"/>
        </w:rPr>
        <w:t>202</w:t>
      </w:r>
      <w:r w:rsidR="0023449D" w:rsidRPr="0090445E">
        <w:rPr>
          <w:rFonts w:ascii="Arial" w:hAnsi="Arial" w:cs="Arial"/>
          <w:lang w:val="en-GB"/>
        </w:rPr>
        <w:t>5</w:t>
      </w:r>
      <w:r w:rsidR="003C6D01" w:rsidRPr="0090445E">
        <w:rPr>
          <w:rFonts w:ascii="Arial" w:hAnsi="Arial" w:cs="Arial"/>
          <w:lang w:val="en-GB"/>
        </w:rPr>
        <w:t xml:space="preserve"> </w:t>
      </w:r>
      <w:r w:rsidR="006C1FB2" w:rsidRPr="0090445E">
        <w:rPr>
          <w:rFonts w:ascii="Arial" w:hAnsi="Arial" w:cs="Arial"/>
          <w:lang w:val="en-GB"/>
        </w:rPr>
        <w:t xml:space="preserve">from </w:t>
      </w:r>
      <w:r w:rsidR="00C61A4B" w:rsidRPr="0090445E">
        <w:rPr>
          <w:rFonts w:ascii="Arial" w:hAnsi="Arial" w:cs="Arial"/>
          <w:lang w:val="en-GB"/>
        </w:rPr>
        <w:t>the implementation of the minimum margin available for cross-zonal trade as established</w:t>
      </w:r>
      <w:r w:rsidR="00C61A4B" w:rsidRPr="0090445E" w:rsidDel="001E3BC6">
        <w:rPr>
          <w:rFonts w:ascii="Arial" w:hAnsi="Arial" w:cs="Arial"/>
          <w:lang w:val="en-GB"/>
        </w:rPr>
        <w:t xml:space="preserve"> </w:t>
      </w:r>
      <w:r w:rsidR="00C74BB2" w:rsidRPr="0090445E">
        <w:rPr>
          <w:rFonts w:ascii="Arial" w:hAnsi="Arial" w:cs="Arial"/>
          <w:lang w:val="en-GB"/>
        </w:rPr>
        <w:t xml:space="preserve">in </w:t>
      </w:r>
      <w:r w:rsidR="006C1FB2" w:rsidRPr="0090445E">
        <w:rPr>
          <w:rFonts w:ascii="Arial" w:hAnsi="Arial" w:cs="Arial"/>
          <w:lang w:val="en-GB"/>
        </w:rPr>
        <w:t>Article 16(8)</w:t>
      </w:r>
      <w:r w:rsidR="00AA5B3B" w:rsidRPr="0090445E">
        <w:rPr>
          <w:rFonts w:ascii="Arial" w:hAnsi="Arial" w:cs="Arial"/>
          <w:lang w:val="en-GB"/>
        </w:rPr>
        <w:t xml:space="preserve"> of the Regulation (EU) 2019/943</w:t>
      </w:r>
      <w:r w:rsidR="006C1FB2" w:rsidRPr="0090445E">
        <w:rPr>
          <w:rFonts w:ascii="Arial" w:hAnsi="Arial" w:cs="Arial"/>
          <w:lang w:val="en-GB"/>
        </w:rPr>
        <w:t xml:space="preserve"> </w:t>
      </w:r>
      <w:r w:rsidR="0028766A" w:rsidRPr="0090445E">
        <w:rPr>
          <w:rFonts w:ascii="Arial" w:hAnsi="Arial" w:cs="Arial"/>
          <w:lang w:val="en-GB"/>
        </w:rPr>
        <w:t>in relation to the bidding zone border</w:t>
      </w:r>
      <w:r w:rsidR="003C6D01" w:rsidRPr="0090445E">
        <w:rPr>
          <w:rFonts w:ascii="Arial" w:hAnsi="Arial" w:cs="Arial"/>
          <w:lang w:val="en-GB"/>
        </w:rPr>
        <w:t>s</w:t>
      </w:r>
      <w:r w:rsidR="0028766A" w:rsidRPr="0090445E">
        <w:rPr>
          <w:rFonts w:ascii="Arial" w:hAnsi="Arial" w:cs="Arial"/>
          <w:lang w:val="en-GB"/>
        </w:rPr>
        <w:t xml:space="preserve"> Romania – Hungary</w:t>
      </w:r>
      <w:r w:rsidR="003C6D01" w:rsidRPr="0090445E">
        <w:rPr>
          <w:rFonts w:ascii="Arial" w:hAnsi="Arial" w:cs="Arial"/>
          <w:lang w:val="en-GB"/>
        </w:rPr>
        <w:t xml:space="preserve"> and Romania – Bulgaria</w:t>
      </w:r>
      <w:r w:rsidR="0028766A" w:rsidRPr="0090445E">
        <w:rPr>
          <w:rFonts w:ascii="Arial" w:hAnsi="Arial" w:cs="Arial"/>
          <w:lang w:val="en-GB"/>
        </w:rPr>
        <w:t xml:space="preserve">. </w:t>
      </w:r>
      <w:r w:rsidR="005442ED" w:rsidRPr="0090445E">
        <w:rPr>
          <w:rFonts w:ascii="Arial" w:hAnsi="Arial" w:cs="Arial"/>
          <w:lang w:val="en-GB"/>
        </w:rPr>
        <w:t>The request is presented by</w:t>
      </w:r>
      <w:r w:rsidR="00A33B77">
        <w:rPr>
          <w:rFonts w:ascii="Arial" w:hAnsi="Arial" w:cs="Arial"/>
          <w:lang w:val="en-GB"/>
        </w:rPr>
        <w:t xml:space="preserve"> CNTEE</w:t>
      </w:r>
      <w:r w:rsidR="005442ED" w:rsidRPr="0090445E">
        <w:rPr>
          <w:rFonts w:ascii="Arial" w:hAnsi="Arial" w:cs="Arial"/>
          <w:lang w:val="en-GB"/>
        </w:rPr>
        <w:t xml:space="preserve"> Transelectrica SA in accordance with Article 16(9) of the Regulation (EU) 2019/943.</w:t>
      </w:r>
    </w:p>
    <w:p w14:paraId="6301AC2F" w14:textId="0B986396" w:rsidR="00430772" w:rsidRPr="0090445E" w:rsidRDefault="00430772" w:rsidP="002B0DDE">
      <w:pPr>
        <w:widowControl w:val="0"/>
        <w:spacing w:after="120"/>
        <w:jc w:val="both"/>
        <w:rPr>
          <w:rFonts w:ascii="Arial" w:hAnsi="Arial" w:cs="Arial"/>
          <w:lang w:val="en-GB"/>
        </w:rPr>
      </w:pPr>
      <w:r w:rsidRPr="0090445E">
        <w:rPr>
          <w:rFonts w:ascii="Arial" w:hAnsi="Arial" w:cs="Arial"/>
          <w:lang w:val="en-GB"/>
        </w:rPr>
        <w:t>(</w:t>
      </w:r>
      <w:r w:rsidR="004C2DF9" w:rsidRPr="0090445E">
        <w:rPr>
          <w:rFonts w:ascii="Arial" w:hAnsi="Arial" w:cs="Arial"/>
          <w:lang w:val="en-GB"/>
        </w:rPr>
        <w:t>2</w:t>
      </w:r>
      <w:r w:rsidRPr="0090445E">
        <w:rPr>
          <w:rFonts w:ascii="Arial" w:hAnsi="Arial" w:cs="Arial"/>
          <w:lang w:val="en-GB"/>
        </w:rPr>
        <w:t xml:space="preserve">) This request for derogation is based on foreseeable grounds for deviating from the 70% capacity criterion as established in Article 16(8) of Regulation 2019/943 respectively from the target capacity value according to the action plan as further described in Article 2, justifying the approval of </w:t>
      </w:r>
      <w:r w:rsidR="003D193B">
        <w:rPr>
          <w:rFonts w:ascii="Arial" w:hAnsi="Arial" w:cs="Arial"/>
          <w:lang w:val="en-GB"/>
        </w:rPr>
        <w:t>the</w:t>
      </w:r>
      <w:r w:rsidRPr="0090445E">
        <w:rPr>
          <w:rFonts w:ascii="Arial" w:hAnsi="Arial" w:cs="Arial"/>
          <w:lang w:val="en-GB"/>
        </w:rPr>
        <w:t xml:space="preserve"> derogation. The foreseeable grounds would impact the operational security in case of non-consideration, while a minimum target capacity is to be achieved.</w:t>
      </w:r>
    </w:p>
    <w:p w14:paraId="21C6CB02" w14:textId="28C8FFF3" w:rsidR="00056892" w:rsidRPr="0090445E" w:rsidRDefault="009D6816" w:rsidP="00174FF7">
      <w:pPr>
        <w:widowControl w:val="0"/>
        <w:spacing w:after="60"/>
        <w:jc w:val="both"/>
        <w:rPr>
          <w:rFonts w:ascii="Arial" w:hAnsi="Arial" w:cs="Arial"/>
          <w:lang w:val="en-GB"/>
        </w:rPr>
      </w:pPr>
      <w:r w:rsidRPr="0090445E">
        <w:rPr>
          <w:rFonts w:ascii="Arial" w:hAnsi="Arial" w:cs="Arial"/>
          <w:lang w:val="en-GB"/>
        </w:rPr>
        <w:t>(</w:t>
      </w:r>
      <w:r w:rsidR="004C2DF9" w:rsidRPr="0090445E">
        <w:rPr>
          <w:rFonts w:ascii="Arial" w:hAnsi="Arial" w:cs="Arial"/>
          <w:lang w:val="en-GB"/>
        </w:rPr>
        <w:t>3</w:t>
      </w:r>
      <w:r w:rsidRPr="0090445E">
        <w:rPr>
          <w:rFonts w:ascii="Arial" w:hAnsi="Arial" w:cs="Arial"/>
          <w:lang w:val="en-GB"/>
        </w:rPr>
        <w:t xml:space="preserve">) </w:t>
      </w:r>
      <w:r w:rsidR="0028766A" w:rsidRPr="0090445E">
        <w:rPr>
          <w:rFonts w:ascii="Arial" w:hAnsi="Arial" w:cs="Arial"/>
          <w:lang w:val="en-GB"/>
        </w:rPr>
        <w:t xml:space="preserve">In </w:t>
      </w:r>
      <w:r w:rsidR="00056892" w:rsidRPr="0090445E">
        <w:rPr>
          <w:rFonts w:ascii="Arial" w:hAnsi="Arial" w:cs="Arial"/>
          <w:lang w:val="en-GB"/>
        </w:rPr>
        <w:t>202</w:t>
      </w:r>
      <w:r w:rsidR="0023449D" w:rsidRPr="0090445E">
        <w:rPr>
          <w:rFonts w:ascii="Arial" w:hAnsi="Arial" w:cs="Arial"/>
          <w:lang w:val="en-GB"/>
        </w:rPr>
        <w:t>5</w:t>
      </w:r>
      <w:r w:rsidR="0028766A" w:rsidRPr="0090445E">
        <w:rPr>
          <w:rFonts w:ascii="Arial" w:hAnsi="Arial" w:cs="Arial"/>
          <w:lang w:val="en-GB"/>
        </w:rPr>
        <w:t xml:space="preserve">, Transelectrica SA shall maintain the minimum </w:t>
      </w:r>
      <w:r w:rsidR="00430772" w:rsidRPr="0090445E">
        <w:rPr>
          <w:rFonts w:ascii="Arial" w:hAnsi="Arial" w:cs="Arial"/>
          <w:lang w:val="en-GB"/>
        </w:rPr>
        <w:t xml:space="preserve">target </w:t>
      </w:r>
      <w:r w:rsidR="0028766A" w:rsidRPr="0090445E">
        <w:rPr>
          <w:rFonts w:ascii="Arial" w:hAnsi="Arial" w:cs="Arial"/>
          <w:lang w:val="en-GB"/>
        </w:rPr>
        <w:t xml:space="preserve">capacity available for cross-zonal trade </w:t>
      </w:r>
      <w:r w:rsidR="00056892" w:rsidRPr="0090445E">
        <w:rPr>
          <w:rFonts w:ascii="Arial" w:hAnsi="Arial" w:cs="Arial"/>
          <w:lang w:val="en-GB"/>
        </w:rPr>
        <w:t>of:</w:t>
      </w:r>
    </w:p>
    <w:p w14:paraId="5C5E1A0C" w14:textId="0865476E" w:rsidR="00056892" w:rsidRPr="0090445E" w:rsidRDefault="00FB5518" w:rsidP="00056892">
      <w:pPr>
        <w:pStyle w:val="ListParagraph"/>
        <w:widowControl w:val="0"/>
        <w:numPr>
          <w:ilvl w:val="0"/>
          <w:numId w:val="19"/>
        </w:numPr>
        <w:spacing w:after="60"/>
        <w:jc w:val="both"/>
        <w:rPr>
          <w:rFonts w:ascii="Arial" w:hAnsi="Arial" w:cs="Arial"/>
          <w:lang w:val="en-GB"/>
        </w:rPr>
      </w:pPr>
      <w:r w:rsidRPr="0090445E">
        <w:rPr>
          <w:rFonts w:ascii="Arial" w:hAnsi="Arial" w:cs="Arial"/>
          <w:lang w:val="en-GB"/>
        </w:rPr>
        <w:t xml:space="preserve">980 </w:t>
      </w:r>
      <w:r w:rsidR="00056892" w:rsidRPr="0090445E">
        <w:rPr>
          <w:rFonts w:ascii="Arial" w:hAnsi="Arial" w:cs="Arial"/>
          <w:lang w:val="en-GB"/>
        </w:rPr>
        <w:t xml:space="preserve">MW, representing </w:t>
      </w:r>
      <w:r w:rsidR="008A2660">
        <w:rPr>
          <w:rFonts w:ascii="Arial" w:hAnsi="Arial" w:cs="Arial"/>
          <w:lang w:val="en-GB"/>
        </w:rPr>
        <w:t>41</w:t>
      </w:r>
      <w:r w:rsidR="00056892" w:rsidRPr="0090445E">
        <w:rPr>
          <w:rFonts w:ascii="Arial" w:hAnsi="Arial" w:cs="Arial"/>
          <w:lang w:val="en-GB"/>
        </w:rPr>
        <w:t xml:space="preserve">% from the transmission capacity </w:t>
      </w:r>
      <w:r w:rsidR="0028766A" w:rsidRPr="0090445E">
        <w:rPr>
          <w:rFonts w:ascii="Arial" w:hAnsi="Arial" w:cs="Arial"/>
          <w:lang w:val="en-GB"/>
        </w:rPr>
        <w:t>on Romania – Hungary border</w:t>
      </w:r>
      <w:r w:rsidR="00A33B77">
        <w:rPr>
          <w:rFonts w:ascii="Arial" w:hAnsi="Arial" w:cs="Arial"/>
          <w:lang w:val="en-GB"/>
        </w:rPr>
        <w:t>;</w:t>
      </w:r>
    </w:p>
    <w:p w14:paraId="1CEF51E8" w14:textId="22368E9E" w:rsidR="0028766A" w:rsidRPr="0090445E" w:rsidRDefault="00FB5518" w:rsidP="00056892">
      <w:pPr>
        <w:pStyle w:val="ListParagraph"/>
        <w:widowControl w:val="0"/>
        <w:numPr>
          <w:ilvl w:val="0"/>
          <w:numId w:val="19"/>
        </w:numPr>
        <w:spacing w:after="60"/>
        <w:jc w:val="both"/>
        <w:rPr>
          <w:rFonts w:ascii="Arial" w:hAnsi="Arial" w:cs="Arial"/>
          <w:lang w:val="en-GB"/>
        </w:rPr>
      </w:pPr>
      <w:r w:rsidRPr="0090445E">
        <w:rPr>
          <w:rFonts w:ascii="Arial" w:hAnsi="Arial" w:cs="Arial"/>
          <w:lang w:val="en-GB"/>
        </w:rPr>
        <w:t xml:space="preserve">1890 </w:t>
      </w:r>
      <w:r w:rsidR="00056892" w:rsidRPr="0090445E">
        <w:rPr>
          <w:rFonts w:ascii="Arial" w:hAnsi="Arial" w:cs="Arial"/>
          <w:lang w:val="en-GB"/>
        </w:rPr>
        <w:t xml:space="preserve">MW, representing </w:t>
      </w:r>
      <w:r w:rsidR="008A2660">
        <w:rPr>
          <w:rFonts w:ascii="Arial" w:hAnsi="Arial" w:cs="Arial"/>
          <w:lang w:val="en-GB"/>
        </w:rPr>
        <w:t>52</w:t>
      </w:r>
      <w:r w:rsidR="00056892" w:rsidRPr="0090445E">
        <w:rPr>
          <w:rFonts w:ascii="Arial" w:hAnsi="Arial" w:cs="Arial"/>
          <w:lang w:val="en-GB"/>
        </w:rPr>
        <w:t xml:space="preserve">% from the transmission capacity on Romania – Bulgaria </w:t>
      </w:r>
      <w:r w:rsidR="00056892" w:rsidRPr="0090445E">
        <w:rPr>
          <w:rFonts w:ascii="Arial" w:hAnsi="Arial" w:cs="Arial"/>
          <w:lang w:val="en-GB"/>
        </w:rPr>
        <w:lastRenderedPageBreak/>
        <w:t>border.</w:t>
      </w:r>
      <w:r w:rsidR="0028766A" w:rsidRPr="0090445E">
        <w:rPr>
          <w:rFonts w:ascii="Arial" w:hAnsi="Arial" w:cs="Arial"/>
          <w:lang w:val="en-GB"/>
        </w:rPr>
        <w:t xml:space="preserve"> </w:t>
      </w:r>
    </w:p>
    <w:p w14:paraId="73B507E8" w14:textId="4AD0BA84" w:rsidR="00C42595" w:rsidRPr="0090445E" w:rsidRDefault="00C42595" w:rsidP="002B0DDE">
      <w:pPr>
        <w:widowControl w:val="0"/>
        <w:spacing w:before="240" w:after="240"/>
        <w:ind w:firstLine="720"/>
        <w:jc w:val="both"/>
        <w:rPr>
          <w:rFonts w:ascii="Arial" w:hAnsi="Arial" w:cs="Arial"/>
          <w:b/>
          <w:lang w:val="en-GB"/>
        </w:rPr>
      </w:pPr>
      <w:r w:rsidRPr="0090445E">
        <w:rPr>
          <w:rFonts w:ascii="Arial" w:hAnsi="Arial" w:cs="Arial"/>
          <w:b/>
          <w:lang w:val="en-GB"/>
        </w:rPr>
        <w:t>Article 2. Definitions</w:t>
      </w:r>
    </w:p>
    <w:p w14:paraId="02FD4F1D" w14:textId="2BCC2A94" w:rsidR="00C42595" w:rsidRPr="0090445E" w:rsidRDefault="00C42595" w:rsidP="002B0DDE">
      <w:pPr>
        <w:widowControl w:val="0"/>
        <w:spacing w:after="60"/>
        <w:jc w:val="both"/>
        <w:rPr>
          <w:rFonts w:ascii="Arial" w:hAnsi="Arial" w:cs="Arial"/>
          <w:lang w:val="en-GB"/>
        </w:rPr>
      </w:pPr>
      <w:r w:rsidRPr="0090445E">
        <w:rPr>
          <w:rFonts w:ascii="Arial" w:hAnsi="Arial" w:cs="Arial"/>
          <w:lang w:val="en-GB"/>
        </w:rPr>
        <w:t xml:space="preserve">All the terms used in this request for derogation shall have the meaning provided by Article 2 of Regulation </w:t>
      </w:r>
      <w:r w:rsidR="003E2F08" w:rsidRPr="0090445E">
        <w:rPr>
          <w:rFonts w:ascii="Arial" w:hAnsi="Arial" w:cs="Arial"/>
          <w:lang w:val="en-GB"/>
        </w:rPr>
        <w:t xml:space="preserve">(EU) </w:t>
      </w:r>
      <w:r w:rsidRPr="0090445E">
        <w:rPr>
          <w:rFonts w:ascii="Arial" w:hAnsi="Arial" w:cs="Arial"/>
          <w:lang w:val="en-GB"/>
        </w:rPr>
        <w:t xml:space="preserve">2019/943 and Article 2 of Regulation </w:t>
      </w:r>
      <w:r w:rsidR="00C73F5F" w:rsidRPr="0090445E">
        <w:rPr>
          <w:rFonts w:ascii="Arial" w:hAnsi="Arial" w:cs="Arial"/>
          <w:lang w:val="en-GB"/>
        </w:rPr>
        <w:t xml:space="preserve">(EU) </w:t>
      </w:r>
      <w:r w:rsidRPr="0090445E">
        <w:rPr>
          <w:rFonts w:ascii="Arial" w:hAnsi="Arial" w:cs="Arial"/>
          <w:lang w:val="en-GB"/>
        </w:rPr>
        <w:t>2015/1222.</w:t>
      </w:r>
    </w:p>
    <w:p w14:paraId="3A2B026F" w14:textId="33C16175" w:rsidR="002F1DC2" w:rsidRPr="0090445E" w:rsidRDefault="002F1DC2" w:rsidP="00A33B77">
      <w:pPr>
        <w:widowControl w:val="0"/>
        <w:spacing w:before="240" w:after="240"/>
        <w:ind w:firstLine="720"/>
        <w:jc w:val="both"/>
        <w:rPr>
          <w:rFonts w:ascii="Arial" w:hAnsi="Arial" w:cs="Arial"/>
          <w:b/>
          <w:lang w:val="en-GB"/>
        </w:rPr>
      </w:pPr>
      <w:r w:rsidRPr="0090445E">
        <w:rPr>
          <w:rFonts w:ascii="Arial" w:hAnsi="Arial" w:cs="Arial"/>
          <w:b/>
          <w:lang w:val="en-GB"/>
        </w:rPr>
        <w:t xml:space="preserve">Article </w:t>
      </w:r>
      <w:r w:rsidR="00C42595" w:rsidRPr="0090445E">
        <w:rPr>
          <w:rFonts w:ascii="Arial" w:hAnsi="Arial" w:cs="Arial"/>
          <w:b/>
          <w:lang w:val="en-GB"/>
        </w:rPr>
        <w:t>3</w:t>
      </w:r>
      <w:r w:rsidR="00710883" w:rsidRPr="0090445E">
        <w:rPr>
          <w:rFonts w:ascii="Arial" w:hAnsi="Arial" w:cs="Arial"/>
          <w:b/>
          <w:lang w:val="en-GB"/>
        </w:rPr>
        <w:t>.</w:t>
      </w:r>
      <w:r w:rsidRPr="0090445E">
        <w:rPr>
          <w:rFonts w:ascii="Arial" w:hAnsi="Arial" w:cs="Arial"/>
          <w:b/>
          <w:lang w:val="en-GB"/>
        </w:rPr>
        <w:t xml:space="preserve"> Foreseeable grounds </w:t>
      </w:r>
      <w:r w:rsidR="00795D9B" w:rsidRPr="0090445E">
        <w:rPr>
          <w:rFonts w:ascii="Arial" w:hAnsi="Arial" w:cs="Arial"/>
          <w:b/>
          <w:lang w:val="en-GB"/>
        </w:rPr>
        <w:t>justifying the request for a derogation</w:t>
      </w:r>
    </w:p>
    <w:p w14:paraId="6660E2B1" w14:textId="32E17975" w:rsidR="00FD64F4" w:rsidRPr="00A33B77" w:rsidRDefault="00EE6E2B" w:rsidP="00A33B77">
      <w:pPr>
        <w:pStyle w:val="ListParagraph"/>
        <w:widowControl w:val="0"/>
        <w:numPr>
          <w:ilvl w:val="0"/>
          <w:numId w:val="25"/>
        </w:numPr>
        <w:spacing w:after="120"/>
        <w:jc w:val="both"/>
        <w:rPr>
          <w:rFonts w:ascii="Arial" w:hAnsi="Arial" w:cs="Arial"/>
          <w:lang w:val="en-GB"/>
        </w:rPr>
      </w:pPr>
      <w:r w:rsidRPr="00A33B77">
        <w:rPr>
          <w:rFonts w:ascii="Arial" w:hAnsi="Arial" w:cs="Arial"/>
          <w:lang w:val="en-GB"/>
        </w:rPr>
        <w:t xml:space="preserve">Acknowledging that key methodologies from the </w:t>
      </w:r>
      <w:r w:rsidR="00C73F5F" w:rsidRPr="00A33B77">
        <w:rPr>
          <w:rFonts w:ascii="Arial" w:hAnsi="Arial" w:cs="Arial"/>
          <w:lang w:val="en-GB"/>
        </w:rPr>
        <w:t>Regulation (EU) 2015/1222</w:t>
      </w:r>
      <w:r w:rsidRPr="00A33B77">
        <w:rPr>
          <w:rFonts w:ascii="Arial" w:hAnsi="Arial" w:cs="Arial"/>
          <w:lang w:val="en-GB"/>
        </w:rPr>
        <w:t xml:space="preserve"> and </w:t>
      </w:r>
      <w:r w:rsidR="00C73F5F" w:rsidRPr="00A33B77">
        <w:rPr>
          <w:rFonts w:ascii="Arial" w:hAnsi="Arial" w:cs="Arial"/>
          <w:lang w:val="en-GB"/>
        </w:rPr>
        <w:t>Regulation (EU) 2017/1485</w:t>
      </w:r>
      <w:r w:rsidRPr="00A33B77">
        <w:rPr>
          <w:rFonts w:ascii="Arial" w:hAnsi="Arial" w:cs="Arial"/>
          <w:lang w:val="en-GB"/>
        </w:rPr>
        <w:t xml:space="preserve"> mentioned in the Introduction are still not implemented in the Core and SEE regions, </w:t>
      </w:r>
      <w:r w:rsidR="00A33B77" w:rsidRPr="00A33B77">
        <w:rPr>
          <w:rFonts w:ascii="Arial" w:hAnsi="Arial" w:cs="Arial"/>
          <w:lang w:val="en-GB"/>
        </w:rPr>
        <w:t xml:space="preserve">CNTEE </w:t>
      </w:r>
      <w:r w:rsidRPr="00A33B77">
        <w:rPr>
          <w:rFonts w:ascii="Arial" w:hAnsi="Arial" w:cs="Arial"/>
          <w:lang w:val="en-GB"/>
        </w:rPr>
        <w:t>Transelectrica SA cannot count on them in relation to the assessment and fulfilment of the target capacity</w:t>
      </w:r>
      <w:r w:rsidR="00404C2F" w:rsidRPr="00A33B77">
        <w:rPr>
          <w:rFonts w:ascii="Arial" w:hAnsi="Arial" w:cs="Arial"/>
          <w:lang w:val="en-GB"/>
        </w:rPr>
        <w:t xml:space="preserve"> </w:t>
      </w:r>
      <w:r w:rsidR="00E66C43" w:rsidRPr="00A33B77">
        <w:rPr>
          <w:rFonts w:ascii="Arial" w:hAnsi="Arial" w:cs="Arial"/>
          <w:lang w:val="en-GB"/>
        </w:rPr>
        <w:t xml:space="preserve">on </w:t>
      </w:r>
      <w:r w:rsidR="00404C2F" w:rsidRPr="00A33B77">
        <w:rPr>
          <w:rFonts w:ascii="Arial" w:hAnsi="Arial" w:cs="Arial"/>
          <w:lang w:val="en-GB"/>
        </w:rPr>
        <w:t>the Romania</w:t>
      </w:r>
      <w:r w:rsidR="00D63037" w:rsidRPr="00A33B77">
        <w:rPr>
          <w:rFonts w:ascii="Arial" w:hAnsi="Arial" w:cs="Arial"/>
          <w:lang w:val="en-GB"/>
        </w:rPr>
        <w:t xml:space="preserve"> – </w:t>
      </w:r>
      <w:r w:rsidR="00404C2F" w:rsidRPr="00A33B77">
        <w:rPr>
          <w:rFonts w:ascii="Arial" w:hAnsi="Arial" w:cs="Arial"/>
          <w:lang w:val="en-GB"/>
        </w:rPr>
        <w:t>Hungary</w:t>
      </w:r>
      <w:r w:rsidR="00E66C43" w:rsidRPr="00A33B77">
        <w:rPr>
          <w:rFonts w:ascii="Arial" w:hAnsi="Arial" w:cs="Arial"/>
          <w:lang w:val="en-GB"/>
        </w:rPr>
        <w:t xml:space="preserve"> and Romania </w:t>
      </w:r>
      <w:r w:rsidR="00A33B77">
        <w:rPr>
          <w:rFonts w:ascii="Arial" w:hAnsi="Arial" w:cs="Arial"/>
          <w:lang w:val="en-GB"/>
        </w:rPr>
        <w:t>–</w:t>
      </w:r>
      <w:r w:rsidR="00E66C43" w:rsidRPr="00A33B77">
        <w:rPr>
          <w:rFonts w:ascii="Arial" w:hAnsi="Arial" w:cs="Arial"/>
          <w:lang w:val="en-GB"/>
        </w:rPr>
        <w:t xml:space="preserve"> Bulgaria</w:t>
      </w:r>
      <w:r w:rsidR="00404C2F" w:rsidRPr="00A33B77">
        <w:rPr>
          <w:rFonts w:ascii="Arial" w:hAnsi="Arial" w:cs="Arial"/>
          <w:lang w:val="en-GB"/>
        </w:rPr>
        <w:t xml:space="preserve"> border</w:t>
      </w:r>
      <w:r w:rsidR="00E66C43" w:rsidRPr="00A33B77">
        <w:rPr>
          <w:rFonts w:ascii="Arial" w:hAnsi="Arial" w:cs="Arial"/>
          <w:lang w:val="en-GB"/>
        </w:rPr>
        <w:t>s</w:t>
      </w:r>
      <w:r w:rsidR="00404C2F" w:rsidRPr="00A33B77">
        <w:rPr>
          <w:rFonts w:ascii="Arial" w:hAnsi="Arial" w:cs="Arial"/>
          <w:lang w:val="en-GB"/>
        </w:rPr>
        <w:t>,</w:t>
      </w:r>
      <w:r w:rsidRPr="00A33B77">
        <w:rPr>
          <w:rFonts w:ascii="Arial" w:hAnsi="Arial" w:cs="Arial"/>
          <w:lang w:val="en-GB"/>
        </w:rPr>
        <w:t xml:space="preserve"> according to the national action plan as of 1 January </w:t>
      </w:r>
      <w:r w:rsidR="00E66C43" w:rsidRPr="00A33B77">
        <w:rPr>
          <w:rFonts w:ascii="Arial" w:hAnsi="Arial" w:cs="Arial"/>
          <w:lang w:val="en-GB"/>
        </w:rPr>
        <w:t>202</w:t>
      </w:r>
      <w:r w:rsidR="00CB7695" w:rsidRPr="00A33B77">
        <w:rPr>
          <w:rFonts w:ascii="Arial" w:hAnsi="Arial" w:cs="Arial"/>
          <w:lang w:val="en-GB"/>
        </w:rPr>
        <w:t>5</w:t>
      </w:r>
      <w:r w:rsidRPr="00A33B77">
        <w:rPr>
          <w:rFonts w:ascii="Arial" w:hAnsi="Arial" w:cs="Arial"/>
          <w:lang w:val="en-GB"/>
        </w:rPr>
        <w:t>.</w:t>
      </w:r>
    </w:p>
    <w:p w14:paraId="45BB0ED4" w14:textId="21605459" w:rsidR="006C1FB2" w:rsidRPr="0090445E" w:rsidRDefault="00EE6E2B" w:rsidP="002B0DDE">
      <w:pPr>
        <w:widowControl w:val="0"/>
        <w:spacing w:after="60"/>
        <w:jc w:val="both"/>
        <w:rPr>
          <w:rFonts w:ascii="Arial" w:eastAsia="Calibri" w:hAnsi="Arial" w:cs="Arial"/>
          <w:lang w:val="en-GB" w:eastAsia="en-GB" w:bidi="ar-SA"/>
        </w:rPr>
      </w:pPr>
      <w:r w:rsidRPr="0090445E">
        <w:rPr>
          <w:rFonts w:ascii="Arial" w:hAnsi="Arial" w:cs="Arial"/>
          <w:lang w:val="en-GB"/>
        </w:rPr>
        <w:t xml:space="preserve">(2) </w:t>
      </w:r>
      <w:r w:rsidR="00F541E4" w:rsidRPr="0090445E">
        <w:rPr>
          <w:rFonts w:ascii="Arial" w:hAnsi="Arial" w:cs="Arial"/>
          <w:lang w:val="en-GB"/>
        </w:rPr>
        <w:t xml:space="preserve">The application of the </w:t>
      </w:r>
      <w:r w:rsidR="00F541E4" w:rsidRPr="0090445E">
        <w:rPr>
          <w:rFonts w:ascii="Arial" w:eastAsia="Calibri" w:hAnsi="Arial" w:cs="Arial"/>
          <w:lang w:val="en-GB" w:eastAsia="en-GB" w:bidi="ar-SA"/>
        </w:rPr>
        <w:t xml:space="preserve">Article 16(8) of the Regulation (EU) 2019/943, respectively the </w:t>
      </w:r>
      <w:r w:rsidR="007519AF" w:rsidRPr="0090445E">
        <w:rPr>
          <w:rFonts w:ascii="Arial" w:eastAsia="Calibri" w:hAnsi="Arial" w:cs="Arial"/>
          <w:lang w:val="en-GB" w:eastAsia="en-GB" w:bidi="ar-SA"/>
        </w:rPr>
        <w:t xml:space="preserve">minimum </w:t>
      </w:r>
      <w:r w:rsidR="00F541E4" w:rsidRPr="0090445E">
        <w:rPr>
          <w:rFonts w:ascii="Arial" w:eastAsia="Calibri" w:hAnsi="Arial" w:cs="Arial"/>
          <w:lang w:val="en-GB" w:eastAsia="en-GB" w:bidi="ar-SA"/>
        </w:rPr>
        <w:t xml:space="preserve">target capacity </w:t>
      </w:r>
      <w:r w:rsidR="00FD64F4" w:rsidRPr="0090445E">
        <w:rPr>
          <w:rFonts w:ascii="Arial" w:eastAsia="Calibri" w:hAnsi="Arial" w:cs="Arial"/>
          <w:lang w:val="en-GB" w:eastAsia="en-GB" w:bidi="ar-SA"/>
        </w:rPr>
        <w:t>for the border</w:t>
      </w:r>
      <w:r w:rsidR="00E66C43" w:rsidRPr="0090445E">
        <w:rPr>
          <w:rFonts w:ascii="Arial" w:eastAsia="Calibri" w:hAnsi="Arial" w:cs="Arial"/>
          <w:lang w:val="en-GB" w:eastAsia="en-GB" w:bidi="ar-SA"/>
        </w:rPr>
        <w:t>s</w:t>
      </w:r>
      <w:r w:rsidR="00FD64F4" w:rsidRPr="0090445E">
        <w:rPr>
          <w:rFonts w:ascii="Arial" w:eastAsia="Calibri" w:hAnsi="Arial" w:cs="Arial"/>
          <w:lang w:val="en-GB" w:eastAsia="en-GB" w:bidi="ar-SA"/>
        </w:rPr>
        <w:t xml:space="preserve"> Romania</w:t>
      </w:r>
      <w:r w:rsidR="00D63037" w:rsidRPr="0090445E">
        <w:rPr>
          <w:rFonts w:ascii="Arial" w:eastAsia="Calibri" w:hAnsi="Arial" w:cs="Arial"/>
          <w:lang w:val="en-GB" w:eastAsia="en-GB" w:bidi="ar-SA"/>
        </w:rPr>
        <w:t xml:space="preserve"> </w:t>
      </w:r>
      <w:r w:rsidR="00D63037" w:rsidRPr="0090445E">
        <w:rPr>
          <w:rFonts w:ascii="Arial" w:hAnsi="Arial" w:cs="Arial"/>
          <w:lang w:val="en-GB"/>
        </w:rPr>
        <w:t xml:space="preserve">– </w:t>
      </w:r>
      <w:r w:rsidR="00FD64F4" w:rsidRPr="0090445E">
        <w:rPr>
          <w:rFonts w:ascii="Arial" w:eastAsia="Calibri" w:hAnsi="Arial" w:cs="Arial"/>
          <w:lang w:val="en-GB" w:eastAsia="en-GB" w:bidi="ar-SA"/>
        </w:rPr>
        <w:t>Hungary</w:t>
      </w:r>
      <w:r w:rsidR="00E66C43" w:rsidRPr="0090445E">
        <w:rPr>
          <w:rFonts w:ascii="Arial" w:eastAsia="Calibri" w:hAnsi="Arial" w:cs="Arial"/>
          <w:lang w:val="en-GB" w:eastAsia="en-GB" w:bidi="ar-SA"/>
        </w:rPr>
        <w:t xml:space="preserve"> and Romania – Bulgaria</w:t>
      </w:r>
      <w:r w:rsidR="00FD64F4" w:rsidRPr="0090445E">
        <w:rPr>
          <w:rFonts w:ascii="Arial" w:eastAsia="Calibri" w:hAnsi="Arial" w:cs="Arial"/>
          <w:lang w:val="en-GB" w:eastAsia="en-GB" w:bidi="ar-SA"/>
        </w:rPr>
        <w:t xml:space="preserve"> </w:t>
      </w:r>
      <w:r w:rsidR="00F541E4" w:rsidRPr="0090445E">
        <w:rPr>
          <w:rFonts w:ascii="Arial" w:eastAsia="Calibri" w:hAnsi="Arial" w:cs="Arial"/>
          <w:lang w:val="en-GB" w:eastAsia="en-GB" w:bidi="ar-SA"/>
        </w:rPr>
        <w:t>according with the Action Plan</w:t>
      </w:r>
      <w:r w:rsidR="007C1FFD" w:rsidRPr="0090445E">
        <w:rPr>
          <w:rFonts w:ascii="Arial" w:eastAsia="Calibri" w:hAnsi="Arial" w:cs="Arial"/>
          <w:lang w:val="en-GB" w:eastAsia="en-GB" w:bidi="ar-SA"/>
        </w:rPr>
        <w:t xml:space="preserve">, starting </w:t>
      </w:r>
      <w:r w:rsidR="00F541E4" w:rsidRPr="0090445E">
        <w:rPr>
          <w:rFonts w:ascii="Arial" w:eastAsia="Calibri" w:hAnsi="Arial" w:cs="Arial"/>
          <w:lang w:val="en-GB" w:eastAsia="en-GB" w:bidi="ar-SA"/>
        </w:rPr>
        <w:t>from</w:t>
      </w:r>
      <w:r w:rsidR="006920D0" w:rsidRPr="0090445E">
        <w:rPr>
          <w:rFonts w:ascii="Arial" w:eastAsia="Calibri" w:hAnsi="Arial" w:cs="Arial"/>
          <w:lang w:val="en-GB" w:eastAsia="en-GB" w:bidi="ar-SA"/>
        </w:rPr>
        <w:t xml:space="preserve"> the</w:t>
      </w:r>
      <w:r w:rsidR="00F541E4" w:rsidRPr="0090445E">
        <w:rPr>
          <w:rFonts w:ascii="Arial" w:eastAsia="Calibri" w:hAnsi="Arial" w:cs="Arial"/>
          <w:lang w:val="en-GB" w:eastAsia="en-GB" w:bidi="ar-SA"/>
        </w:rPr>
        <w:t xml:space="preserve"> </w:t>
      </w:r>
      <w:r w:rsidR="006920D0" w:rsidRPr="0090445E">
        <w:rPr>
          <w:rFonts w:ascii="Arial" w:eastAsia="Calibri" w:hAnsi="Arial" w:cs="Arial"/>
          <w:lang w:val="en-GB" w:eastAsia="en-GB" w:bidi="ar-SA"/>
        </w:rPr>
        <w:t>1</w:t>
      </w:r>
      <w:r w:rsidR="006920D0" w:rsidRPr="0090445E">
        <w:rPr>
          <w:rFonts w:ascii="Arial" w:eastAsia="Calibri" w:hAnsi="Arial" w:cs="Arial"/>
          <w:vertAlign w:val="superscript"/>
          <w:lang w:val="en-GB" w:eastAsia="en-GB" w:bidi="ar-SA"/>
        </w:rPr>
        <w:t>st</w:t>
      </w:r>
      <w:r w:rsidR="006920D0" w:rsidRPr="0090445E">
        <w:rPr>
          <w:rFonts w:ascii="Arial" w:eastAsia="Calibri" w:hAnsi="Arial" w:cs="Arial"/>
          <w:lang w:val="en-GB" w:eastAsia="en-GB" w:bidi="ar-SA"/>
        </w:rPr>
        <w:t xml:space="preserve"> of</w:t>
      </w:r>
      <w:r w:rsidR="00F541E4" w:rsidRPr="0090445E">
        <w:rPr>
          <w:rFonts w:ascii="Arial" w:eastAsia="Calibri" w:hAnsi="Arial" w:cs="Arial"/>
          <w:lang w:val="en-GB" w:eastAsia="en-GB" w:bidi="ar-SA"/>
        </w:rPr>
        <w:t xml:space="preserve"> January </w:t>
      </w:r>
      <w:r w:rsidR="00E66C43" w:rsidRPr="0090445E">
        <w:rPr>
          <w:rFonts w:ascii="Arial" w:eastAsia="Calibri" w:hAnsi="Arial" w:cs="Arial"/>
          <w:lang w:val="en-GB" w:eastAsia="en-GB" w:bidi="ar-SA"/>
        </w:rPr>
        <w:t>202</w:t>
      </w:r>
      <w:r w:rsidR="003D193B">
        <w:rPr>
          <w:rFonts w:ascii="Arial" w:eastAsia="Calibri" w:hAnsi="Arial" w:cs="Arial"/>
          <w:lang w:val="en-GB" w:eastAsia="en-GB" w:bidi="ar-SA"/>
        </w:rPr>
        <w:t>5</w:t>
      </w:r>
      <w:r w:rsidR="00E66C43" w:rsidRPr="0090445E">
        <w:rPr>
          <w:rFonts w:ascii="Arial" w:eastAsia="Calibri" w:hAnsi="Arial" w:cs="Arial"/>
          <w:lang w:val="en-GB" w:eastAsia="en-GB" w:bidi="ar-SA"/>
        </w:rPr>
        <w:t xml:space="preserve"> </w:t>
      </w:r>
      <w:r w:rsidR="00FD64F4" w:rsidRPr="0090445E">
        <w:rPr>
          <w:rFonts w:ascii="Arial" w:eastAsia="Calibri" w:hAnsi="Arial" w:cs="Arial"/>
          <w:lang w:val="en-GB" w:eastAsia="en-GB" w:bidi="ar-SA"/>
        </w:rPr>
        <w:t>on</w:t>
      </w:r>
      <w:r w:rsidR="00F541E4" w:rsidRPr="0090445E">
        <w:rPr>
          <w:rFonts w:ascii="Arial" w:eastAsia="Calibri" w:hAnsi="Arial" w:cs="Arial"/>
          <w:lang w:val="en-GB" w:eastAsia="en-GB" w:bidi="ar-SA"/>
        </w:rPr>
        <w:t xml:space="preserve">, endangers the operational security due to the </w:t>
      </w:r>
      <w:r w:rsidR="00DF5123" w:rsidRPr="0090445E">
        <w:rPr>
          <w:rFonts w:ascii="Arial" w:eastAsia="Calibri" w:hAnsi="Arial" w:cs="Arial"/>
          <w:lang w:val="en-GB" w:eastAsia="en-GB" w:bidi="ar-SA"/>
        </w:rPr>
        <w:t xml:space="preserve">following </w:t>
      </w:r>
      <w:r w:rsidR="00F541E4" w:rsidRPr="0090445E">
        <w:rPr>
          <w:rFonts w:ascii="Arial" w:eastAsia="Calibri" w:hAnsi="Arial" w:cs="Arial"/>
          <w:lang w:val="en-GB" w:eastAsia="en-GB" w:bidi="ar-SA"/>
        </w:rPr>
        <w:t>foreseeable ground</w:t>
      </w:r>
      <w:r w:rsidR="00F90F22" w:rsidRPr="0090445E">
        <w:rPr>
          <w:rFonts w:ascii="Arial" w:eastAsia="Calibri" w:hAnsi="Arial" w:cs="Arial"/>
          <w:lang w:val="en-GB" w:eastAsia="en-GB" w:bidi="ar-SA"/>
        </w:rPr>
        <w:t>s</w:t>
      </w:r>
      <w:r w:rsidR="00F541E4" w:rsidRPr="0090445E">
        <w:rPr>
          <w:rFonts w:ascii="Arial" w:eastAsia="Calibri" w:hAnsi="Arial" w:cs="Arial"/>
          <w:lang w:val="en-GB" w:eastAsia="en-GB" w:bidi="ar-SA"/>
        </w:rPr>
        <w:t>:</w:t>
      </w:r>
    </w:p>
    <w:p w14:paraId="38A433FE" w14:textId="77777777" w:rsidR="00285DE7" w:rsidRPr="0090445E" w:rsidRDefault="00F541E4" w:rsidP="00452B34">
      <w:pPr>
        <w:pStyle w:val="ListParagraph"/>
        <w:widowControl w:val="0"/>
        <w:numPr>
          <w:ilvl w:val="0"/>
          <w:numId w:val="14"/>
        </w:numPr>
        <w:spacing w:after="60"/>
        <w:ind w:left="1134"/>
        <w:jc w:val="both"/>
        <w:rPr>
          <w:rFonts w:ascii="Arial" w:hAnsi="Arial" w:cs="Arial"/>
          <w:b/>
          <w:bCs/>
          <w:i/>
          <w:iCs/>
          <w:lang w:val="en-GB"/>
        </w:rPr>
      </w:pPr>
      <w:r w:rsidRPr="0090445E">
        <w:rPr>
          <w:rFonts w:ascii="Arial" w:hAnsi="Arial" w:cs="Arial"/>
          <w:b/>
          <w:bCs/>
          <w:i/>
          <w:iCs/>
          <w:lang w:val="en-GB"/>
        </w:rPr>
        <w:t xml:space="preserve">Lack of the </w:t>
      </w:r>
      <w:r w:rsidR="00285DE7" w:rsidRPr="0090445E">
        <w:rPr>
          <w:rFonts w:ascii="Arial" w:hAnsi="Arial" w:cs="Arial"/>
          <w:b/>
          <w:bCs/>
          <w:i/>
          <w:iCs/>
          <w:lang w:val="en-GB"/>
        </w:rPr>
        <w:t xml:space="preserve">regional coordinated processes for capacity calculation and security analysis </w:t>
      </w:r>
    </w:p>
    <w:p w14:paraId="23E4498B" w14:textId="394DAB8E" w:rsidR="00323AA5" w:rsidRPr="0090445E" w:rsidRDefault="00285DE7" w:rsidP="00F72AC0">
      <w:pPr>
        <w:pStyle w:val="ListParagraph"/>
        <w:widowControl w:val="0"/>
        <w:spacing w:after="120"/>
        <w:ind w:left="1134"/>
        <w:contextualSpacing w:val="0"/>
        <w:jc w:val="both"/>
        <w:rPr>
          <w:rFonts w:ascii="Arial" w:eastAsia="Calibri" w:hAnsi="Arial" w:cs="Arial"/>
          <w:lang w:val="en-GB" w:eastAsia="en-GB" w:bidi="ar-SA"/>
        </w:rPr>
      </w:pPr>
      <w:r w:rsidRPr="0090445E">
        <w:rPr>
          <w:rFonts w:ascii="Arial" w:hAnsi="Arial" w:cs="Arial"/>
          <w:lang w:val="en-GB"/>
        </w:rPr>
        <w:t xml:space="preserve">The </w:t>
      </w:r>
      <w:r w:rsidRPr="0090445E">
        <w:rPr>
          <w:rFonts w:ascii="Arial" w:eastAsia="Calibri" w:hAnsi="Arial" w:cs="Arial"/>
          <w:lang w:val="en-GB" w:eastAsia="en-GB" w:bidi="ar-SA"/>
        </w:rPr>
        <w:t>Articles 16(4) and 16(8) of the Regulation (EU) 2019/943 refers to the implementation of the coordinated capacity calculation and security analysis at regional level to ensure</w:t>
      </w:r>
      <w:r w:rsidR="00A05CE2" w:rsidRPr="0090445E">
        <w:rPr>
          <w:rFonts w:ascii="Arial" w:eastAsia="Calibri" w:hAnsi="Arial" w:cs="Arial"/>
          <w:lang w:val="en-GB" w:eastAsia="en-GB" w:bidi="ar-SA"/>
        </w:rPr>
        <w:t xml:space="preserve"> a minimum capacity available for cross-zonal trade. The</w:t>
      </w:r>
      <w:r w:rsidR="00323AA5" w:rsidRPr="0090445E">
        <w:rPr>
          <w:rFonts w:ascii="Arial" w:eastAsia="Calibri" w:hAnsi="Arial" w:cs="Arial"/>
          <w:lang w:val="en-GB" w:eastAsia="en-GB" w:bidi="ar-SA"/>
        </w:rPr>
        <w:t xml:space="preserve"> implementation of the</w:t>
      </w:r>
      <w:r w:rsidR="00A05CE2" w:rsidRPr="0090445E">
        <w:rPr>
          <w:rFonts w:ascii="Arial" w:eastAsia="Calibri" w:hAnsi="Arial" w:cs="Arial"/>
          <w:lang w:val="en-GB" w:eastAsia="en-GB" w:bidi="ar-SA"/>
        </w:rPr>
        <w:t xml:space="preserve"> capacity calculation using flow-based method in Core CCR</w:t>
      </w:r>
      <w:r w:rsidR="00323AA5" w:rsidRPr="0090445E">
        <w:rPr>
          <w:rFonts w:ascii="Arial" w:eastAsia="Calibri" w:hAnsi="Arial" w:cs="Arial"/>
          <w:lang w:val="en-GB" w:eastAsia="en-GB" w:bidi="ar-SA"/>
        </w:rPr>
        <w:t xml:space="preserve"> in June </w:t>
      </w:r>
      <w:r w:rsidR="00A05CE2" w:rsidRPr="0090445E">
        <w:rPr>
          <w:rFonts w:ascii="Arial" w:eastAsia="Calibri" w:hAnsi="Arial" w:cs="Arial"/>
          <w:lang w:val="en-GB" w:eastAsia="en-GB" w:bidi="ar-SA"/>
        </w:rPr>
        <w:t>2022 is not enough to</w:t>
      </w:r>
      <w:r w:rsidR="00A05CE2" w:rsidRPr="0090445E">
        <w:rPr>
          <w:lang w:val="en-GB"/>
        </w:rPr>
        <w:t xml:space="preserve"> </w:t>
      </w:r>
      <w:r w:rsidR="00A05CE2" w:rsidRPr="0090445E">
        <w:rPr>
          <w:rFonts w:ascii="Arial" w:eastAsia="Calibri" w:hAnsi="Arial" w:cs="Arial"/>
          <w:lang w:val="en-GB" w:eastAsia="en-GB" w:bidi="ar-SA"/>
        </w:rPr>
        <w:t xml:space="preserve">comply with the minimum available capacity requirements. </w:t>
      </w:r>
      <w:r w:rsidR="00323AA5" w:rsidRPr="0090445E">
        <w:rPr>
          <w:rFonts w:ascii="Arial" w:eastAsia="Calibri" w:hAnsi="Arial" w:cs="Arial"/>
          <w:lang w:val="en-GB" w:eastAsia="en-GB" w:bidi="ar-SA"/>
        </w:rPr>
        <w:t>The lack of a coordinated validation of the day-ahead capacity calculation results at regional level comes with a certain level of risk of maintaining the operational security limits in real-time. Not always the internal measures and remedial actions estimated as available for day-ahead capacity calculation are available and enough to maintain the system security in real-time;</w:t>
      </w:r>
    </w:p>
    <w:p w14:paraId="506B6ECB" w14:textId="41CC78E9" w:rsidR="00AD7BD0" w:rsidRPr="0090445E" w:rsidRDefault="00AD7BD0" w:rsidP="00452B34">
      <w:pPr>
        <w:pStyle w:val="ListParagraph"/>
        <w:widowControl w:val="0"/>
        <w:numPr>
          <w:ilvl w:val="0"/>
          <w:numId w:val="14"/>
        </w:numPr>
        <w:spacing w:after="60"/>
        <w:ind w:left="1134"/>
        <w:jc w:val="both"/>
        <w:rPr>
          <w:rFonts w:ascii="Arial" w:hAnsi="Arial" w:cs="Arial"/>
          <w:b/>
          <w:bCs/>
          <w:i/>
          <w:iCs/>
          <w:lang w:val="en-GB"/>
        </w:rPr>
      </w:pPr>
      <w:r w:rsidRPr="0090445E">
        <w:rPr>
          <w:rFonts w:ascii="Arial" w:hAnsi="Arial" w:cs="Arial"/>
          <w:b/>
          <w:bCs/>
          <w:i/>
          <w:iCs/>
          <w:lang w:val="en-GB"/>
        </w:rPr>
        <w:t>Lack of the redispatching and countertrading processes implemented at regional level pursuant to Article 35 and 74 of Regulation (EU) 2015/1222.</w:t>
      </w:r>
    </w:p>
    <w:p w14:paraId="0433A678" w14:textId="666A0E1D" w:rsidR="00B642AD" w:rsidRPr="0090445E" w:rsidRDefault="00AD7BD0" w:rsidP="00F53418">
      <w:pPr>
        <w:pStyle w:val="ListParagraph"/>
        <w:spacing w:after="120"/>
        <w:ind w:left="1134"/>
        <w:contextualSpacing w:val="0"/>
        <w:jc w:val="both"/>
        <w:rPr>
          <w:rFonts w:ascii="Arial" w:hAnsi="Arial" w:cs="Arial"/>
          <w:lang w:val="en-GB"/>
        </w:rPr>
      </w:pPr>
      <w:r w:rsidRPr="0090445E">
        <w:rPr>
          <w:rFonts w:ascii="Arial" w:eastAsia="Calibri" w:hAnsi="Arial" w:cs="Arial"/>
          <w:lang w:val="en-GB" w:eastAsia="de-DE" w:bidi="ar-SA"/>
        </w:rPr>
        <w:t xml:space="preserve">The Article 16(4) </w:t>
      </w:r>
      <w:r w:rsidRPr="0090445E">
        <w:rPr>
          <w:rFonts w:ascii="Arial" w:hAnsi="Arial" w:cs="Arial"/>
          <w:lang w:val="en-GB"/>
        </w:rPr>
        <w:t>of the Regulation (EU) 2019/943</w:t>
      </w:r>
      <w:r w:rsidR="00AB4A36" w:rsidRPr="0090445E">
        <w:rPr>
          <w:rFonts w:ascii="Arial" w:hAnsi="Arial" w:cs="Arial"/>
          <w:lang w:val="en-GB"/>
        </w:rPr>
        <w:t xml:space="preserve"> stated that the redispatching and countertrading shall be used to maximize the available capacity to reach the minimum capacity provided for in </w:t>
      </w:r>
      <w:r w:rsidR="00AB4A36" w:rsidRPr="0090445E">
        <w:rPr>
          <w:rFonts w:ascii="Arial" w:eastAsia="Calibri" w:hAnsi="Arial" w:cs="Arial"/>
          <w:lang w:val="en-GB" w:eastAsia="de-DE" w:bidi="ar-SA"/>
        </w:rPr>
        <w:t xml:space="preserve">Article 16(8) </w:t>
      </w:r>
      <w:r w:rsidR="00AB4A36" w:rsidRPr="0090445E">
        <w:rPr>
          <w:rFonts w:ascii="Arial" w:hAnsi="Arial" w:cs="Arial"/>
          <w:lang w:val="en-GB"/>
        </w:rPr>
        <w:t xml:space="preserve">of the Regulation (EU) 2019/943. This process shall be </w:t>
      </w:r>
      <w:r w:rsidR="0017135C" w:rsidRPr="0090445E">
        <w:rPr>
          <w:rFonts w:ascii="Arial" w:hAnsi="Arial" w:cs="Arial"/>
          <w:lang w:val="en-GB"/>
        </w:rPr>
        <w:t xml:space="preserve">coordinated and follow the implementation of cost-sharing methodology. </w:t>
      </w:r>
      <w:r w:rsidR="00D111CE" w:rsidRPr="0090445E">
        <w:rPr>
          <w:rFonts w:ascii="Arial" w:hAnsi="Arial" w:cs="Arial"/>
          <w:lang w:val="en-GB"/>
        </w:rPr>
        <w:t>Both a</w:t>
      </w:r>
      <w:r w:rsidR="00C725E4" w:rsidRPr="0090445E">
        <w:rPr>
          <w:rFonts w:ascii="Arial" w:hAnsi="Arial" w:cs="Arial"/>
          <w:lang w:val="en-GB"/>
        </w:rPr>
        <w:t>t Core</w:t>
      </w:r>
      <w:r w:rsidR="00D111CE" w:rsidRPr="0090445E">
        <w:rPr>
          <w:rFonts w:ascii="Arial" w:hAnsi="Arial" w:cs="Arial"/>
          <w:lang w:val="en-GB"/>
        </w:rPr>
        <w:t xml:space="preserve"> and SEE</w:t>
      </w:r>
      <w:r w:rsidR="00C725E4" w:rsidRPr="0090445E">
        <w:rPr>
          <w:rFonts w:ascii="Arial" w:hAnsi="Arial" w:cs="Arial"/>
          <w:lang w:val="en-GB"/>
        </w:rPr>
        <w:t xml:space="preserve"> CCR level the processes for the redispatching and countertrading are scheduled for implementation in </w:t>
      </w:r>
      <w:r w:rsidR="00D111CE" w:rsidRPr="0090445E">
        <w:rPr>
          <w:rFonts w:ascii="Arial" w:hAnsi="Arial" w:cs="Arial"/>
          <w:lang w:val="en-GB"/>
        </w:rPr>
        <w:t>202</w:t>
      </w:r>
      <w:r w:rsidR="00770A4C">
        <w:rPr>
          <w:rFonts w:ascii="Arial" w:hAnsi="Arial" w:cs="Arial"/>
          <w:lang w:val="en-GB"/>
        </w:rPr>
        <w:t>7</w:t>
      </w:r>
      <w:r w:rsidR="00C725E4" w:rsidRPr="0090445E">
        <w:rPr>
          <w:rFonts w:ascii="Arial" w:hAnsi="Arial" w:cs="Arial"/>
          <w:lang w:val="en-GB"/>
        </w:rPr>
        <w:t xml:space="preserve">. Application by CNTEE Transelectrica SA in </w:t>
      </w:r>
      <w:r w:rsidR="00D111CE" w:rsidRPr="0090445E">
        <w:rPr>
          <w:rFonts w:ascii="Arial" w:hAnsi="Arial" w:cs="Arial"/>
          <w:lang w:val="en-GB"/>
        </w:rPr>
        <w:t xml:space="preserve">2024 </w:t>
      </w:r>
      <w:r w:rsidR="00C725E4" w:rsidRPr="0090445E">
        <w:rPr>
          <w:rFonts w:ascii="Arial" w:hAnsi="Arial" w:cs="Arial"/>
          <w:lang w:val="en-GB"/>
        </w:rPr>
        <w:t xml:space="preserve">of an individual redispatching process aimed at achieving the minimum level of cross-zonal capacity as per national Action </w:t>
      </w:r>
      <w:r w:rsidR="009523D2" w:rsidRPr="0090445E">
        <w:rPr>
          <w:rFonts w:ascii="Arial" w:hAnsi="Arial" w:cs="Arial"/>
          <w:lang w:val="en-GB"/>
        </w:rPr>
        <w:t>Plan is</w:t>
      </w:r>
      <w:r w:rsidR="00C725E4" w:rsidRPr="0090445E">
        <w:rPr>
          <w:rFonts w:ascii="Arial" w:hAnsi="Arial" w:cs="Arial"/>
          <w:lang w:val="en-GB"/>
        </w:rPr>
        <w:t xml:space="preserve"> not feasible due to the lack of enough remedial </w:t>
      </w:r>
      <w:r w:rsidR="00B5159B" w:rsidRPr="0090445E">
        <w:rPr>
          <w:rFonts w:ascii="Arial" w:hAnsi="Arial" w:cs="Arial"/>
          <w:lang w:val="en-GB"/>
        </w:rPr>
        <w:t>actions</w:t>
      </w:r>
      <w:r w:rsidR="00C725E4" w:rsidRPr="0090445E">
        <w:rPr>
          <w:rFonts w:ascii="Arial" w:hAnsi="Arial" w:cs="Arial"/>
          <w:lang w:val="en-GB"/>
        </w:rPr>
        <w:t>.</w:t>
      </w:r>
      <w:r w:rsidR="00B5159B" w:rsidRPr="0090445E">
        <w:rPr>
          <w:rFonts w:ascii="Arial" w:hAnsi="Arial" w:cs="Arial"/>
          <w:lang w:val="en-GB"/>
        </w:rPr>
        <w:t xml:space="preserve"> </w:t>
      </w:r>
      <w:r w:rsidR="007E6CAA" w:rsidRPr="0090445E">
        <w:rPr>
          <w:rFonts w:ascii="Arial" w:hAnsi="Arial" w:cs="Arial"/>
          <w:lang w:val="en-GB"/>
        </w:rPr>
        <w:t>This is caused</w:t>
      </w:r>
      <w:r w:rsidR="00A33B77">
        <w:rPr>
          <w:rFonts w:ascii="Arial" w:hAnsi="Arial" w:cs="Arial"/>
          <w:lang w:val="en-GB"/>
        </w:rPr>
        <w:t xml:space="preserve"> mainly</w:t>
      </w:r>
      <w:r w:rsidR="007E6CAA" w:rsidRPr="0090445E">
        <w:rPr>
          <w:rFonts w:ascii="Arial" w:hAnsi="Arial" w:cs="Arial"/>
          <w:lang w:val="en-GB"/>
        </w:rPr>
        <w:t xml:space="preserve"> due to the fact that around 80% of the generation capacity of Romania is located in the south</w:t>
      </w:r>
      <w:r w:rsidR="00BD5FC5" w:rsidRPr="0090445E">
        <w:rPr>
          <w:rFonts w:ascii="Arial" w:hAnsi="Arial" w:cs="Arial"/>
          <w:lang w:val="en-GB"/>
        </w:rPr>
        <w:t>ern</w:t>
      </w:r>
      <w:r w:rsidR="007E6CAA" w:rsidRPr="0090445E">
        <w:rPr>
          <w:rFonts w:ascii="Arial" w:hAnsi="Arial" w:cs="Arial"/>
          <w:lang w:val="en-GB"/>
        </w:rPr>
        <w:t xml:space="preserve"> part of the country, without enough redispatching potential in the west and north-west parts of the country </w:t>
      </w:r>
      <w:r w:rsidR="00D111CE" w:rsidRPr="0090445E">
        <w:rPr>
          <w:rFonts w:ascii="Arial" w:hAnsi="Arial" w:cs="Arial"/>
          <w:lang w:val="en-GB"/>
        </w:rPr>
        <w:t>to</w:t>
      </w:r>
      <w:r w:rsidR="00C80670" w:rsidRPr="0090445E">
        <w:rPr>
          <w:rFonts w:ascii="Arial" w:hAnsi="Arial" w:cs="Arial"/>
          <w:lang w:val="en-GB"/>
        </w:rPr>
        <w:t xml:space="preserve"> </w:t>
      </w:r>
      <w:r w:rsidR="007E6CAA" w:rsidRPr="0090445E">
        <w:rPr>
          <w:rFonts w:ascii="Arial" w:hAnsi="Arial" w:cs="Arial"/>
          <w:lang w:val="en-GB"/>
        </w:rPr>
        <w:t>le</w:t>
      </w:r>
      <w:r w:rsidR="008F3C64" w:rsidRPr="0090445E">
        <w:rPr>
          <w:rFonts w:ascii="Arial" w:hAnsi="Arial" w:cs="Arial"/>
          <w:lang w:val="en-GB"/>
        </w:rPr>
        <w:t>a</w:t>
      </w:r>
      <w:r w:rsidR="007E6CAA" w:rsidRPr="0090445E">
        <w:rPr>
          <w:rFonts w:ascii="Arial" w:hAnsi="Arial" w:cs="Arial"/>
          <w:lang w:val="en-GB"/>
        </w:rPr>
        <w:t>d to</w:t>
      </w:r>
      <w:r w:rsidR="00D111CE" w:rsidRPr="0090445E">
        <w:rPr>
          <w:rFonts w:ascii="Arial" w:hAnsi="Arial" w:cs="Arial"/>
          <w:lang w:val="en-GB"/>
        </w:rPr>
        <w:t xml:space="preserve"> an</w:t>
      </w:r>
      <w:r w:rsidR="007E6CAA" w:rsidRPr="0090445E">
        <w:rPr>
          <w:rFonts w:ascii="Arial" w:hAnsi="Arial" w:cs="Arial"/>
          <w:lang w:val="en-GB"/>
        </w:rPr>
        <w:t xml:space="preserve"> increase of the capacity available for cross-border trade on Romania – Hungary border.</w:t>
      </w:r>
      <w:r w:rsidR="00D111CE" w:rsidRPr="0090445E">
        <w:rPr>
          <w:rFonts w:ascii="Arial" w:hAnsi="Arial" w:cs="Arial"/>
          <w:lang w:val="en-GB"/>
        </w:rPr>
        <w:t xml:space="preserve"> Also, for increasing the available capacity for cross-zonal trade on Romania – Bulgaria border, coordinated actions among involved TSOs are </w:t>
      </w:r>
      <w:r w:rsidR="00D111CE" w:rsidRPr="0090445E">
        <w:rPr>
          <w:rFonts w:ascii="Arial" w:hAnsi="Arial" w:cs="Arial"/>
          <w:lang w:val="en-GB"/>
        </w:rPr>
        <w:lastRenderedPageBreak/>
        <w:t>needed, as the elements limiting the cross-zonal trade are often tie</w:t>
      </w:r>
      <w:r w:rsidR="00A33B77">
        <w:rPr>
          <w:rFonts w:ascii="Arial" w:hAnsi="Arial" w:cs="Arial"/>
          <w:lang w:val="en-GB"/>
        </w:rPr>
        <w:t>-</w:t>
      </w:r>
      <w:r w:rsidR="00D111CE" w:rsidRPr="0090445E">
        <w:rPr>
          <w:rFonts w:ascii="Arial" w:hAnsi="Arial" w:cs="Arial"/>
          <w:lang w:val="en-GB"/>
        </w:rPr>
        <w:t>lines.</w:t>
      </w:r>
      <w:r w:rsidR="007E6CAA" w:rsidRPr="0090445E">
        <w:rPr>
          <w:rFonts w:ascii="Arial" w:hAnsi="Arial" w:cs="Arial"/>
          <w:lang w:val="en-GB"/>
        </w:rPr>
        <w:t xml:space="preserve"> </w:t>
      </w:r>
      <w:r w:rsidR="00D111CE" w:rsidRPr="0090445E">
        <w:rPr>
          <w:rFonts w:ascii="Arial" w:hAnsi="Arial" w:cs="Arial"/>
          <w:lang w:val="en-GB"/>
        </w:rPr>
        <w:t>Moreover, a</w:t>
      </w:r>
      <w:r w:rsidR="00C80670" w:rsidRPr="0090445E">
        <w:rPr>
          <w:rFonts w:ascii="Arial" w:hAnsi="Arial" w:cs="Arial"/>
          <w:lang w:val="en-GB"/>
        </w:rPr>
        <w:t xml:space="preserve"> </w:t>
      </w:r>
      <w:r w:rsidR="007E6CAA" w:rsidRPr="0090445E">
        <w:rPr>
          <w:rFonts w:ascii="Arial" w:hAnsi="Arial" w:cs="Arial"/>
          <w:lang w:val="en-GB"/>
        </w:rPr>
        <w:t xml:space="preserve">countertrading process is not implemented on Romania bidding zone borders.  </w:t>
      </w:r>
    </w:p>
    <w:p w14:paraId="4F128349" w14:textId="0811E69C" w:rsidR="00B642AD" w:rsidRPr="0090445E" w:rsidRDefault="00B642AD" w:rsidP="00C51B11">
      <w:pPr>
        <w:pStyle w:val="ListParagraph"/>
        <w:numPr>
          <w:ilvl w:val="0"/>
          <w:numId w:val="18"/>
        </w:numPr>
        <w:spacing w:after="0"/>
        <w:ind w:left="1134" w:hanging="357"/>
        <w:jc w:val="both"/>
        <w:rPr>
          <w:rFonts w:ascii="Arial" w:hAnsi="Arial" w:cs="Arial"/>
          <w:b/>
          <w:i/>
          <w:lang w:val="en-GB"/>
        </w:rPr>
      </w:pPr>
      <w:r w:rsidRPr="0090445E">
        <w:rPr>
          <w:rFonts w:ascii="Arial" w:hAnsi="Arial" w:cs="Arial"/>
          <w:b/>
          <w:i/>
          <w:lang w:val="en-GB"/>
        </w:rPr>
        <w:t>Common grid model available for Core CCR</w:t>
      </w:r>
    </w:p>
    <w:p w14:paraId="31C89A22" w14:textId="3A682F0A" w:rsidR="00B642AD" w:rsidRPr="0090445E" w:rsidRDefault="00B642AD" w:rsidP="001533CB">
      <w:pPr>
        <w:spacing w:after="120"/>
        <w:ind w:left="1134"/>
        <w:jc w:val="both"/>
        <w:rPr>
          <w:rFonts w:ascii="Arial" w:hAnsi="Arial" w:cs="Arial"/>
          <w:lang w:val="en-GB"/>
        </w:rPr>
      </w:pPr>
      <w:r w:rsidRPr="0090445E">
        <w:rPr>
          <w:rFonts w:ascii="Arial" w:hAnsi="Arial" w:cs="Arial"/>
          <w:lang w:val="en-GB"/>
        </w:rPr>
        <w:t xml:space="preserve">At present, every </w:t>
      </w:r>
      <w:r w:rsidR="001533CB" w:rsidRPr="0090445E">
        <w:rPr>
          <w:rFonts w:ascii="Arial" w:hAnsi="Arial" w:cs="Arial"/>
          <w:lang w:val="en-GB"/>
        </w:rPr>
        <w:t>CCR has its own common grid model for the day-ahead capacity calculation process, using different rules regarding the usage of the individual grid models available and the alignment of net positions. The flows on the critical network elements in Romania are influenced by the fact that in</w:t>
      </w:r>
      <w:r w:rsidR="00920D0B" w:rsidRPr="0090445E">
        <w:rPr>
          <w:rFonts w:ascii="Arial" w:hAnsi="Arial" w:cs="Arial"/>
          <w:lang w:val="en-GB"/>
        </w:rPr>
        <w:t xml:space="preserve"> both</w:t>
      </w:r>
      <w:r w:rsidR="001533CB" w:rsidRPr="0090445E">
        <w:rPr>
          <w:rFonts w:ascii="Arial" w:hAnsi="Arial" w:cs="Arial"/>
          <w:lang w:val="en-GB"/>
        </w:rPr>
        <w:t xml:space="preserve"> Core</w:t>
      </w:r>
      <w:r w:rsidR="00920D0B" w:rsidRPr="0090445E">
        <w:rPr>
          <w:rFonts w:ascii="Arial" w:hAnsi="Arial" w:cs="Arial"/>
          <w:lang w:val="en-GB"/>
        </w:rPr>
        <w:t xml:space="preserve"> and SEE</w:t>
      </w:r>
      <w:r w:rsidR="001533CB" w:rsidRPr="0090445E">
        <w:rPr>
          <w:rFonts w:ascii="Arial" w:hAnsi="Arial" w:cs="Arial"/>
          <w:lang w:val="en-GB"/>
        </w:rPr>
        <w:t xml:space="preserve"> CCR</w:t>
      </w:r>
      <w:r w:rsidR="00920D0B" w:rsidRPr="0090445E">
        <w:rPr>
          <w:rFonts w:ascii="Arial" w:hAnsi="Arial" w:cs="Arial"/>
          <w:lang w:val="en-GB"/>
        </w:rPr>
        <w:t>s</w:t>
      </w:r>
      <w:r w:rsidR="001533CB" w:rsidRPr="0090445E">
        <w:rPr>
          <w:rFonts w:ascii="Arial" w:hAnsi="Arial" w:cs="Arial"/>
          <w:lang w:val="en-GB"/>
        </w:rPr>
        <w:t xml:space="preserve"> the individual</w:t>
      </w:r>
      <w:r w:rsidR="00920D0B" w:rsidRPr="0090445E">
        <w:rPr>
          <w:rFonts w:ascii="Arial" w:hAnsi="Arial" w:cs="Arial"/>
          <w:lang w:val="en-GB"/>
        </w:rPr>
        <w:t xml:space="preserve"> grid</w:t>
      </w:r>
      <w:r w:rsidR="001533CB" w:rsidRPr="0090445E">
        <w:rPr>
          <w:rFonts w:ascii="Arial" w:hAnsi="Arial" w:cs="Arial"/>
          <w:lang w:val="en-GB"/>
        </w:rPr>
        <w:t xml:space="preserve"> models used for the day-ahead capacity calculation process for all Continental Europe are not the two days-ahead congestion forecast models (D2CF), even though these are available for most TSOs (e.g., ESO EAD Bulgarian D2CF models are available for SEE CCR, but</w:t>
      </w:r>
      <w:r w:rsidR="00920D0B" w:rsidRPr="0090445E">
        <w:rPr>
          <w:rFonts w:ascii="Arial" w:hAnsi="Arial" w:cs="Arial"/>
          <w:lang w:val="en-GB"/>
        </w:rPr>
        <w:t xml:space="preserve"> they</w:t>
      </w:r>
      <w:r w:rsidR="001533CB" w:rsidRPr="0090445E">
        <w:rPr>
          <w:rFonts w:ascii="Arial" w:hAnsi="Arial" w:cs="Arial"/>
          <w:lang w:val="en-GB"/>
        </w:rPr>
        <w:t xml:space="preserve"> are not used in the Core CCR</w:t>
      </w:r>
      <w:r w:rsidR="00A33B77">
        <w:rPr>
          <w:rFonts w:ascii="Arial" w:hAnsi="Arial" w:cs="Arial"/>
          <w:lang w:val="en-GB"/>
        </w:rPr>
        <w:t xml:space="preserve"> capacity calculation process</w:t>
      </w:r>
      <w:r w:rsidR="001533CB" w:rsidRPr="0090445E">
        <w:rPr>
          <w:rFonts w:ascii="Arial" w:hAnsi="Arial" w:cs="Arial"/>
          <w:lang w:val="en-GB"/>
        </w:rPr>
        <w:t xml:space="preserve">). This aspect introduces high uncertainties and could potentially introduce overloads on network elements which cannot be solved with </w:t>
      </w:r>
      <w:r w:rsidR="00A33B77">
        <w:rPr>
          <w:rFonts w:ascii="Arial" w:hAnsi="Arial" w:cs="Arial"/>
          <w:lang w:val="en-GB"/>
        </w:rPr>
        <w:t xml:space="preserve">the </w:t>
      </w:r>
      <w:r w:rsidR="001533CB" w:rsidRPr="0090445E">
        <w:rPr>
          <w:rFonts w:ascii="Arial" w:hAnsi="Arial" w:cs="Arial"/>
          <w:lang w:val="en-GB"/>
        </w:rPr>
        <w:t>available remedial actions.</w:t>
      </w:r>
    </w:p>
    <w:p w14:paraId="3E465639" w14:textId="6717F105" w:rsidR="009523D2" w:rsidRPr="0090445E" w:rsidRDefault="009523D2" w:rsidP="00A31C49">
      <w:pPr>
        <w:pStyle w:val="ListParagraph"/>
        <w:widowControl w:val="0"/>
        <w:numPr>
          <w:ilvl w:val="0"/>
          <w:numId w:val="14"/>
        </w:numPr>
        <w:spacing w:after="0"/>
        <w:ind w:left="1134" w:hanging="357"/>
        <w:jc w:val="both"/>
        <w:rPr>
          <w:rFonts w:ascii="Arial" w:hAnsi="Arial" w:cs="Arial"/>
          <w:b/>
          <w:bCs/>
          <w:i/>
          <w:iCs/>
          <w:lang w:val="en-GB"/>
        </w:rPr>
      </w:pPr>
      <w:r w:rsidRPr="0090445E">
        <w:rPr>
          <w:rFonts w:ascii="Arial" w:hAnsi="Arial" w:cs="Arial"/>
          <w:b/>
          <w:bCs/>
          <w:i/>
          <w:iCs/>
          <w:lang w:val="en-GB"/>
        </w:rPr>
        <w:t>Capacity calculation regions configurations and lack of the consideration of the non-EU countries power flows in capacity calculation.</w:t>
      </w:r>
    </w:p>
    <w:p w14:paraId="77B6EFEC" w14:textId="61B7B8A9" w:rsidR="009523D2" w:rsidRPr="0090445E" w:rsidRDefault="009523D2" w:rsidP="009523D2">
      <w:pPr>
        <w:spacing w:after="0"/>
        <w:ind w:left="1134"/>
        <w:jc w:val="both"/>
        <w:rPr>
          <w:rFonts w:ascii="Arial" w:eastAsia="Calibri" w:hAnsi="Arial" w:cs="Arial"/>
          <w:lang w:val="en-GB" w:eastAsia="de-DE" w:bidi="ar-SA"/>
        </w:rPr>
      </w:pPr>
      <w:r w:rsidRPr="0090445E">
        <w:rPr>
          <w:rFonts w:ascii="Arial" w:eastAsia="Calibri" w:hAnsi="Arial" w:cs="Arial"/>
          <w:lang w:val="en-GB" w:eastAsia="de-DE" w:bidi="ar-SA"/>
        </w:rPr>
        <w:t xml:space="preserve">ACER recommendation no. 1/2019 provides that consideration of non-EU country flows in capacity calculation and </w:t>
      </w:r>
      <w:r w:rsidR="0084485F" w:rsidRPr="0090445E">
        <w:rPr>
          <w:rFonts w:ascii="Arial" w:eastAsia="Calibri" w:hAnsi="Arial" w:cs="Arial"/>
          <w:lang w:val="en-GB" w:eastAsia="de-DE" w:bidi="ar-SA"/>
        </w:rPr>
        <w:t xml:space="preserve">counting these flows towards the target capacity </w:t>
      </w:r>
      <w:r w:rsidRPr="0090445E">
        <w:rPr>
          <w:rFonts w:ascii="Arial" w:eastAsia="Calibri" w:hAnsi="Arial" w:cs="Arial"/>
          <w:lang w:val="en-GB" w:eastAsia="de-DE" w:bidi="ar-SA"/>
        </w:rPr>
        <w:t>should be possible on the condition that an agreement has been concluded by all TSOs of a CCR with the TSO of the third country</w:t>
      </w:r>
      <w:r w:rsidR="008B3843" w:rsidRPr="0090445E">
        <w:rPr>
          <w:rFonts w:ascii="Arial" w:eastAsia="Calibri" w:hAnsi="Arial" w:cs="Arial"/>
          <w:lang w:val="en-GB" w:eastAsia="de-DE" w:bidi="ar-SA"/>
        </w:rPr>
        <w:t xml:space="preserve"> and provided that this agreement is deemed acceptable by the competent regulatory authorities</w:t>
      </w:r>
      <w:r w:rsidRPr="0090445E">
        <w:rPr>
          <w:rFonts w:ascii="Arial" w:eastAsia="Calibri" w:hAnsi="Arial" w:cs="Arial"/>
          <w:lang w:val="en-GB" w:eastAsia="de-DE" w:bidi="ar-SA"/>
        </w:rPr>
        <w:t xml:space="preserve">. Moreover, </w:t>
      </w:r>
      <w:r w:rsidR="00B55395" w:rsidRPr="0090445E">
        <w:rPr>
          <w:rFonts w:ascii="Arial" w:eastAsia="Calibri" w:hAnsi="Arial" w:cs="Arial"/>
          <w:lang w:val="en-GB" w:eastAsia="de-DE" w:bidi="ar-SA"/>
        </w:rPr>
        <w:t xml:space="preserve">this agreement should be fully in </w:t>
      </w:r>
      <w:r w:rsidR="003D193B">
        <w:rPr>
          <w:rFonts w:ascii="Arial" w:eastAsia="Calibri" w:hAnsi="Arial" w:cs="Arial"/>
          <w:lang w:val="en-GB" w:eastAsia="de-DE" w:bidi="ar-SA"/>
        </w:rPr>
        <w:t>accordance</w:t>
      </w:r>
      <w:r w:rsidR="00B55395" w:rsidRPr="0090445E">
        <w:rPr>
          <w:rFonts w:ascii="Arial" w:eastAsia="Calibri" w:hAnsi="Arial" w:cs="Arial"/>
          <w:lang w:val="en-GB" w:eastAsia="de-DE" w:bidi="ar-SA"/>
        </w:rPr>
        <w:t xml:space="preserve"> with EU capacity calculation principles and rules, and should cover at least </w:t>
      </w:r>
      <w:r w:rsidR="00D63037" w:rsidRPr="0090445E">
        <w:rPr>
          <w:rFonts w:ascii="Arial" w:eastAsia="Calibri" w:hAnsi="Arial" w:cs="Arial"/>
          <w:lang w:val="en-GB" w:eastAsia="de-DE" w:bidi="ar-SA"/>
        </w:rPr>
        <w:t>c</w:t>
      </w:r>
      <w:r w:rsidR="00D50D1D" w:rsidRPr="0090445E">
        <w:rPr>
          <w:rFonts w:ascii="Arial" w:eastAsia="Calibri" w:hAnsi="Arial" w:cs="Arial"/>
          <w:lang w:val="en-GB" w:eastAsia="de-DE" w:bidi="ar-SA"/>
        </w:rPr>
        <w:t>onsideration of internal third country constraints for intra-EU capacity calculation, consideration of EU internal constraints for capacity calculation on the border with third countr</w:t>
      </w:r>
      <w:r w:rsidR="00786ACD" w:rsidRPr="0090445E">
        <w:rPr>
          <w:rFonts w:ascii="Arial" w:eastAsia="Calibri" w:hAnsi="Arial" w:cs="Arial"/>
          <w:lang w:val="en-GB" w:eastAsia="de-DE" w:bidi="ar-SA"/>
        </w:rPr>
        <w:t>ies</w:t>
      </w:r>
      <w:r w:rsidR="00D50D1D" w:rsidRPr="0090445E">
        <w:rPr>
          <w:rFonts w:ascii="Arial" w:eastAsia="Calibri" w:hAnsi="Arial" w:cs="Arial"/>
          <w:lang w:val="en-GB" w:eastAsia="de-DE" w:bidi="ar-SA"/>
        </w:rPr>
        <w:t xml:space="preserve">, and </w:t>
      </w:r>
      <w:r w:rsidRPr="0090445E">
        <w:rPr>
          <w:rFonts w:ascii="Arial" w:eastAsia="Calibri" w:hAnsi="Arial" w:cs="Arial"/>
          <w:lang w:val="en-GB" w:eastAsia="de-DE" w:bidi="ar-SA"/>
        </w:rPr>
        <w:t>cost-sharing of remedial actions.</w:t>
      </w:r>
    </w:p>
    <w:p w14:paraId="68882B26" w14:textId="7F786479" w:rsidR="009523D2" w:rsidRPr="0090445E" w:rsidRDefault="009523D2" w:rsidP="000353A8">
      <w:pPr>
        <w:spacing w:after="120"/>
        <w:ind w:left="1134"/>
        <w:jc w:val="both"/>
        <w:rPr>
          <w:rFonts w:ascii="Arial" w:eastAsia="Calibri" w:hAnsi="Arial" w:cs="Arial"/>
          <w:lang w:val="en-GB" w:eastAsia="de-DE" w:bidi="ar-SA"/>
        </w:rPr>
      </w:pPr>
      <w:r w:rsidRPr="0090445E">
        <w:rPr>
          <w:rFonts w:ascii="Arial" w:eastAsia="Calibri" w:hAnsi="Arial" w:cs="Arial"/>
          <w:lang w:val="en-GB" w:eastAsia="de-DE" w:bidi="ar-SA"/>
        </w:rPr>
        <w:t xml:space="preserve">Cross-border exchanges on </w:t>
      </w:r>
      <w:r w:rsidR="00DE4194" w:rsidRPr="0090445E">
        <w:rPr>
          <w:rFonts w:ascii="Arial" w:eastAsia="Calibri" w:hAnsi="Arial" w:cs="Arial"/>
          <w:lang w:val="en-GB" w:eastAsia="de-DE" w:bidi="ar-SA"/>
        </w:rPr>
        <w:t>Romanian’s</w:t>
      </w:r>
      <w:r w:rsidRPr="0090445E">
        <w:rPr>
          <w:rFonts w:ascii="Arial" w:eastAsia="Calibri" w:hAnsi="Arial" w:cs="Arial"/>
          <w:lang w:val="en-GB" w:eastAsia="de-DE" w:bidi="ar-SA"/>
        </w:rPr>
        <w:t xml:space="preserve"> non-EU borders have a significant impact on cross-border capacity available on</w:t>
      </w:r>
      <w:r w:rsidR="00786ACD" w:rsidRPr="0090445E">
        <w:rPr>
          <w:rFonts w:ascii="Arial" w:eastAsia="Calibri" w:hAnsi="Arial" w:cs="Arial"/>
          <w:lang w:val="en-GB" w:eastAsia="de-DE" w:bidi="ar-SA"/>
        </w:rPr>
        <w:t xml:space="preserve"> the</w:t>
      </w:r>
      <w:r w:rsidR="00920D0B" w:rsidRPr="0090445E">
        <w:rPr>
          <w:rFonts w:ascii="Arial" w:eastAsia="Calibri" w:hAnsi="Arial" w:cs="Arial"/>
          <w:lang w:val="en-GB" w:eastAsia="de-DE" w:bidi="ar-SA"/>
        </w:rPr>
        <w:t xml:space="preserve"> EU</w:t>
      </w:r>
      <w:r w:rsidRPr="0090445E">
        <w:rPr>
          <w:rFonts w:ascii="Arial" w:eastAsia="Calibri" w:hAnsi="Arial" w:cs="Arial"/>
          <w:lang w:val="en-GB" w:eastAsia="de-DE" w:bidi="ar-SA"/>
        </w:rPr>
        <w:t xml:space="preserve"> </w:t>
      </w:r>
      <w:r w:rsidR="00DE4194" w:rsidRPr="0090445E">
        <w:rPr>
          <w:rFonts w:ascii="Arial" w:eastAsia="Calibri" w:hAnsi="Arial" w:cs="Arial"/>
          <w:lang w:val="en-GB" w:eastAsia="de-DE" w:bidi="ar-SA"/>
        </w:rPr>
        <w:t>Romania</w:t>
      </w:r>
      <w:r w:rsidR="00920D0B" w:rsidRPr="0090445E">
        <w:rPr>
          <w:rFonts w:ascii="Arial" w:eastAsia="Calibri" w:hAnsi="Arial" w:cs="Arial"/>
          <w:lang w:val="en-GB" w:eastAsia="de-DE" w:bidi="ar-SA"/>
        </w:rPr>
        <w:t>n</w:t>
      </w:r>
      <w:r w:rsidR="00DE4194" w:rsidRPr="0090445E">
        <w:rPr>
          <w:rFonts w:ascii="Arial" w:eastAsia="Calibri" w:hAnsi="Arial" w:cs="Arial"/>
          <w:lang w:val="en-GB" w:eastAsia="de-DE" w:bidi="ar-SA"/>
        </w:rPr>
        <w:t xml:space="preserve"> </w:t>
      </w:r>
      <w:r w:rsidRPr="0090445E">
        <w:rPr>
          <w:rFonts w:ascii="Arial" w:eastAsia="Calibri" w:hAnsi="Arial" w:cs="Arial"/>
          <w:lang w:val="en-GB" w:eastAsia="de-DE" w:bidi="ar-SA"/>
        </w:rPr>
        <w:t>border</w:t>
      </w:r>
      <w:r w:rsidR="00920D0B" w:rsidRPr="0090445E">
        <w:rPr>
          <w:rFonts w:ascii="Arial" w:eastAsia="Calibri" w:hAnsi="Arial" w:cs="Arial"/>
          <w:lang w:val="en-GB" w:eastAsia="de-DE" w:bidi="ar-SA"/>
        </w:rPr>
        <w:t>s</w:t>
      </w:r>
      <w:r w:rsidR="00CC35DC" w:rsidRPr="0090445E">
        <w:rPr>
          <w:rFonts w:ascii="Arial" w:eastAsia="Calibri" w:hAnsi="Arial" w:cs="Arial"/>
          <w:lang w:val="en-GB" w:eastAsia="de-DE" w:bidi="ar-SA"/>
        </w:rPr>
        <w:t>, and cannot be artificially neglected in the calculation process</w:t>
      </w:r>
      <w:r w:rsidRPr="0090445E">
        <w:rPr>
          <w:rFonts w:ascii="Arial" w:eastAsia="Calibri" w:hAnsi="Arial" w:cs="Arial"/>
          <w:lang w:val="en-GB" w:eastAsia="de-DE" w:bidi="ar-SA"/>
        </w:rPr>
        <w:t xml:space="preserve">. </w:t>
      </w:r>
      <w:r w:rsidR="00920D0B" w:rsidRPr="0090445E">
        <w:rPr>
          <w:rFonts w:ascii="Arial" w:eastAsia="Calibri" w:hAnsi="Arial" w:cs="Arial"/>
          <w:lang w:val="en-GB" w:eastAsia="de-DE" w:bidi="ar-SA"/>
        </w:rPr>
        <w:t xml:space="preserve">Romania </w:t>
      </w:r>
      <w:r w:rsidR="007A70B4" w:rsidRPr="0090445E">
        <w:rPr>
          <w:rFonts w:ascii="Arial" w:eastAsia="Calibri" w:hAnsi="Arial" w:cs="Arial"/>
          <w:lang w:val="en-GB" w:eastAsia="de-DE" w:bidi="ar-SA"/>
        </w:rPr>
        <w:t>–</w:t>
      </w:r>
      <w:r w:rsidR="00920D0B" w:rsidRPr="0090445E">
        <w:rPr>
          <w:rFonts w:ascii="Arial" w:eastAsia="Calibri" w:hAnsi="Arial" w:cs="Arial"/>
          <w:lang w:val="en-GB" w:eastAsia="de-DE" w:bidi="ar-SA"/>
        </w:rPr>
        <w:t xml:space="preserve"> Hungary</w:t>
      </w:r>
      <w:r w:rsidR="007A70B4" w:rsidRPr="0090445E">
        <w:rPr>
          <w:rFonts w:ascii="Arial" w:eastAsia="Calibri" w:hAnsi="Arial" w:cs="Arial"/>
          <w:lang w:val="en-GB" w:eastAsia="de-DE" w:bidi="ar-SA"/>
        </w:rPr>
        <w:t xml:space="preserve"> </w:t>
      </w:r>
      <w:r w:rsidR="00DE4194" w:rsidRPr="0090445E">
        <w:rPr>
          <w:rFonts w:ascii="Arial" w:eastAsia="Calibri" w:hAnsi="Arial" w:cs="Arial"/>
          <w:lang w:val="en-GB" w:eastAsia="de-DE" w:bidi="ar-SA"/>
        </w:rPr>
        <w:t xml:space="preserve">border from </w:t>
      </w:r>
      <w:r w:rsidRPr="0090445E">
        <w:rPr>
          <w:rFonts w:ascii="Arial" w:eastAsia="Calibri" w:hAnsi="Arial" w:cs="Arial"/>
          <w:lang w:val="en-GB" w:eastAsia="de-DE" w:bidi="ar-SA"/>
        </w:rPr>
        <w:t xml:space="preserve">Core CCR is impacted by cross-border flows on </w:t>
      </w:r>
      <w:r w:rsidR="001B6ED7" w:rsidRPr="0090445E">
        <w:rPr>
          <w:rFonts w:ascii="Arial" w:eastAsia="Calibri" w:hAnsi="Arial" w:cs="Arial"/>
          <w:lang w:val="en-GB" w:eastAsia="de-DE" w:bidi="ar-SA"/>
        </w:rPr>
        <w:t xml:space="preserve">Romania – Serbia </w:t>
      </w:r>
      <w:r w:rsidRPr="0090445E">
        <w:rPr>
          <w:rFonts w:ascii="Arial" w:eastAsia="Calibri" w:hAnsi="Arial" w:cs="Arial"/>
          <w:lang w:val="en-GB" w:eastAsia="de-DE" w:bidi="ar-SA"/>
        </w:rPr>
        <w:t xml:space="preserve">and </w:t>
      </w:r>
      <w:r w:rsidR="001B6ED7" w:rsidRPr="0090445E">
        <w:rPr>
          <w:rFonts w:ascii="Arial" w:eastAsia="Calibri" w:hAnsi="Arial" w:cs="Arial"/>
          <w:lang w:val="en-GB" w:eastAsia="de-DE" w:bidi="ar-SA"/>
        </w:rPr>
        <w:t>Romania – Ukraine, d</w:t>
      </w:r>
      <w:r w:rsidRPr="0090445E">
        <w:rPr>
          <w:rFonts w:ascii="Arial" w:eastAsia="Calibri" w:hAnsi="Arial" w:cs="Arial"/>
          <w:lang w:val="en-GB" w:eastAsia="de-DE" w:bidi="ar-SA"/>
        </w:rPr>
        <w:t xml:space="preserve">ue to </w:t>
      </w:r>
      <w:r w:rsidR="001B6ED7" w:rsidRPr="0090445E">
        <w:rPr>
          <w:rFonts w:ascii="Arial" w:eastAsia="Calibri" w:hAnsi="Arial" w:cs="Arial"/>
          <w:lang w:val="en-GB" w:eastAsia="de-DE" w:bidi="ar-SA"/>
        </w:rPr>
        <w:t xml:space="preserve">the fact that both </w:t>
      </w:r>
      <w:r w:rsidR="009D4692" w:rsidRPr="0090445E">
        <w:rPr>
          <w:rFonts w:ascii="Arial" w:eastAsia="Calibri" w:hAnsi="Arial" w:cs="Arial"/>
          <w:lang w:val="en-GB" w:eastAsia="de-DE" w:bidi="ar-SA"/>
        </w:rPr>
        <w:t>transmission system operators</w:t>
      </w:r>
      <w:r w:rsidR="001B6ED7" w:rsidRPr="0090445E">
        <w:rPr>
          <w:rFonts w:ascii="Arial" w:eastAsia="Calibri" w:hAnsi="Arial" w:cs="Arial"/>
          <w:lang w:val="en-GB" w:eastAsia="de-DE" w:bidi="ar-SA"/>
        </w:rPr>
        <w:t xml:space="preserve"> </w:t>
      </w:r>
      <w:r w:rsidR="00786ACD" w:rsidRPr="0090445E">
        <w:rPr>
          <w:rFonts w:ascii="Arial" w:eastAsia="Calibri" w:hAnsi="Arial" w:cs="Arial"/>
          <w:lang w:val="en-GB" w:eastAsia="de-DE" w:bidi="ar-SA"/>
        </w:rPr>
        <w:t xml:space="preserve">are </w:t>
      </w:r>
      <w:r w:rsidR="009D4692" w:rsidRPr="0090445E">
        <w:rPr>
          <w:rFonts w:ascii="Arial" w:eastAsia="Calibri" w:hAnsi="Arial" w:cs="Arial"/>
          <w:lang w:val="en-GB" w:eastAsia="de-DE" w:bidi="ar-SA"/>
        </w:rPr>
        <w:t>sharing borders with both Serbia and Ukraine.</w:t>
      </w:r>
      <w:r w:rsidR="007F3DBF" w:rsidRPr="0090445E">
        <w:rPr>
          <w:rFonts w:ascii="Arial" w:eastAsia="Calibri" w:hAnsi="Arial" w:cs="Arial"/>
          <w:lang w:val="en-GB" w:eastAsia="de-DE" w:bidi="ar-SA"/>
        </w:rPr>
        <w:t xml:space="preserve"> </w:t>
      </w:r>
      <w:r w:rsidR="00A92AD8" w:rsidRPr="0090445E">
        <w:rPr>
          <w:rFonts w:ascii="Arial" w:eastAsia="Calibri" w:hAnsi="Arial" w:cs="Arial"/>
          <w:lang w:val="en-GB" w:eastAsia="de-DE" w:bidi="ar-SA"/>
        </w:rPr>
        <w:t>It has also been observed that the cross-border flows on the Romania – Hungary border are influenced by the flows on the Romania – Republic of Moldova border</w:t>
      </w:r>
      <w:r w:rsidR="00920D0B" w:rsidRPr="0090445E">
        <w:rPr>
          <w:rFonts w:ascii="Arial" w:eastAsia="Calibri" w:hAnsi="Arial" w:cs="Arial"/>
          <w:lang w:val="en-GB" w:eastAsia="de-DE" w:bidi="ar-SA"/>
        </w:rPr>
        <w:t>, the UA</w:t>
      </w:r>
      <w:r w:rsidR="000353A8">
        <w:rPr>
          <w:rFonts w:ascii="Arial" w:eastAsia="Calibri" w:hAnsi="Arial" w:cs="Arial"/>
          <w:lang w:val="en-GB" w:eastAsia="de-DE" w:bidi="ar-SA"/>
        </w:rPr>
        <w:t xml:space="preserve"> – </w:t>
      </w:r>
      <w:r w:rsidR="00920D0B" w:rsidRPr="0090445E">
        <w:rPr>
          <w:rFonts w:ascii="Arial" w:eastAsia="Calibri" w:hAnsi="Arial" w:cs="Arial"/>
          <w:lang w:val="en-GB" w:eastAsia="de-DE" w:bidi="ar-SA"/>
        </w:rPr>
        <w:t>MD interface being a transit zone for these exchanges</w:t>
      </w:r>
      <w:r w:rsidR="00A92AD8" w:rsidRPr="0090445E">
        <w:rPr>
          <w:rFonts w:ascii="Arial" w:eastAsia="Calibri" w:hAnsi="Arial" w:cs="Arial"/>
          <w:lang w:val="en-GB" w:eastAsia="de-DE" w:bidi="ar-SA"/>
        </w:rPr>
        <w:t xml:space="preserve">. </w:t>
      </w:r>
      <w:r w:rsidR="00920D0B" w:rsidRPr="0090445E">
        <w:rPr>
          <w:rFonts w:ascii="Arial" w:eastAsia="Calibri" w:hAnsi="Arial" w:cs="Arial"/>
          <w:lang w:val="en-GB" w:eastAsia="de-DE" w:bidi="ar-SA"/>
        </w:rPr>
        <w:t xml:space="preserve">Similarly, the cross-border exchanges between Romania and Bulgaria are influenced by exchanges on Romania – Serbia and Bulgaria – Serbia borders. </w:t>
      </w:r>
      <w:r w:rsidR="007F3DBF" w:rsidRPr="0090445E">
        <w:rPr>
          <w:rFonts w:ascii="Arial" w:eastAsia="Calibri" w:hAnsi="Arial" w:cs="Arial"/>
          <w:lang w:val="en-GB" w:eastAsia="de-DE" w:bidi="ar-SA"/>
        </w:rPr>
        <w:t>Non-consideration of</w:t>
      </w:r>
      <w:r w:rsidR="00C90E21" w:rsidRPr="0090445E">
        <w:rPr>
          <w:rFonts w:ascii="Arial" w:eastAsia="Calibri" w:hAnsi="Arial" w:cs="Arial"/>
          <w:lang w:val="en-GB" w:eastAsia="de-DE" w:bidi="ar-SA"/>
        </w:rPr>
        <w:t xml:space="preserve"> </w:t>
      </w:r>
      <w:r w:rsidR="007F3DBF" w:rsidRPr="0090445E">
        <w:rPr>
          <w:rFonts w:ascii="Arial" w:eastAsia="Calibri" w:hAnsi="Arial" w:cs="Arial"/>
          <w:lang w:val="en-GB" w:eastAsia="de-DE" w:bidi="ar-SA"/>
        </w:rPr>
        <w:t>third country flows leads to a significant disadvantage for those TSOs with higher exposure to flows of 3rd countries</w:t>
      </w:r>
      <w:r w:rsidR="00C90E21" w:rsidRPr="0090445E">
        <w:rPr>
          <w:rFonts w:ascii="Arial" w:eastAsia="Calibri" w:hAnsi="Arial" w:cs="Arial"/>
          <w:lang w:val="en-GB" w:eastAsia="de-DE" w:bidi="ar-SA"/>
        </w:rPr>
        <w:t>.</w:t>
      </w:r>
      <w:r w:rsidR="00D50D1D" w:rsidRPr="0090445E">
        <w:rPr>
          <w:rFonts w:ascii="Arial" w:eastAsia="Calibri" w:hAnsi="Arial" w:cs="Arial"/>
          <w:lang w:val="en-GB" w:eastAsia="de-DE" w:bidi="ar-SA"/>
        </w:rPr>
        <w:t xml:space="preserve"> </w:t>
      </w:r>
    </w:p>
    <w:p w14:paraId="7D7C933D" w14:textId="77777777" w:rsidR="00544530" w:rsidRPr="0090445E" w:rsidRDefault="00544530" w:rsidP="00544530">
      <w:pPr>
        <w:pStyle w:val="ListParagraph"/>
        <w:widowControl w:val="0"/>
        <w:numPr>
          <w:ilvl w:val="0"/>
          <w:numId w:val="14"/>
        </w:numPr>
        <w:spacing w:after="60"/>
        <w:ind w:left="1134"/>
        <w:jc w:val="both"/>
        <w:rPr>
          <w:rFonts w:ascii="Arial" w:hAnsi="Arial" w:cs="Arial"/>
          <w:b/>
          <w:bCs/>
          <w:i/>
          <w:iCs/>
          <w:lang w:val="en-GB"/>
        </w:rPr>
      </w:pPr>
      <w:r w:rsidRPr="0090445E">
        <w:rPr>
          <w:rFonts w:ascii="Arial" w:hAnsi="Arial" w:cs="Arial"/>
          <w:b/>
          <w:bCs/>
          <w:i/>
          <w:iCs/>
          <w:lang w:val="en-GB"/>
        </w:rPr>
        <w:t>Lack of the coordination between capacity calculation regions with impact on the power flows through critical network elements.</w:t>
      </w:r>
    </w:p>
    <w:p w14:paraId="5067EDD1" w14:textId="2EBB435D" w:rsidR="00544530" w:rsidRPr="0090445E" w:rsidRDefault="008D5FC1" w:rsidP="00250EAC">
      <w:pPr>
        <w:pStyle w:val="ListParagraph"/>
        <w:widowControl w:val="0"/>
        <w:spacing w:after="60"/>
        <w:ind w:left="1134"/>
        <w:jc w:val="both"/>
        <w:rPr>
          <w:rFonts w:ascii="Arial" w:hAnsi="Arial" w:cs="Arial"/>
          <w:lang w:val="en-GB"/>
        </w:rPr>
      </w:pPr>
      <w:r>
        <w:rPr>
          <w:rFonts w:ascii="Arial" w:hAnsi="Arial" w:cs="Arial"/>
          <w:lang w:val="en-GB"/>
        </w:rPr>
        <w:t xml:space="preserve">CNTEE </w:t>
      </w:r>
      <w:r w:rsidR="00544530" w:rsidRPr="0090445E">
        <w:rPr>
          <w:rFonts w:ascii="Arial" w:hAnsi="Arial" w:cs="Arial"/>
          <w:lang w:val="en-GB"/>
        </w:rPr>
        <w:t xml:space="preserve">Transelectrica SA is also part of </w:t>
      </w:r>
      <w:r w:rsidR="00A31B9C" w:rsidRPr="0090445E">
        <w:rPr>
          <w:rFonts w:ascii="Arial" w:hAnsi="Arial" w:cs="Arial"/>
          <w:lang w:val="en-GB"/>
        </w:rPr>
        <w:t xml:space="preserve">two </w:t>
      </w:r>
      <w:r w:rsidR="00544530" w:rsidRPr="0090445E">
        <w:rPr>
          <w:rFonts w:ascii="Arial" w:hAnsi="Arial" w:cs="Arial"/>
          <w:lang w:val="en-GB"/>
        </w:rPr>
        <w:t>CCR</w:t>
      </w:r>
      <w:r w:rsidR="00A31B9C" w:rsidRPr="0090445E">
        <w:rPr>
          <w:rFonts w:ascii="Arial" w:hAnsi="Arial" w:cs="Arial"/>
          <w:lang w:val="en-GB"/>
        </w:rPr>
        <w:t>s,</w:t>
      </w:r>
      <w:r w:rsidR="00544530" w:rsidRPr="0090445E">
        <w:rPr>
          <w:rFonts w:ascii="Arial" w:hAnsi="Arial" w:cs="Arial"/>
          <w:lang w:val="en-GB"/>
        </w:rPr>
        <w:t xml:space="preserve"> with </w:t>
      </w:r>
      <w:r w:rsidR="00807E8D" w:rsidRPr="0090445E">
        <w:rPr>
          <w:rFonts w:ascii="Arial" w:hAnsi="Arial" w:cs="Arial"/>
          <w:lang w:val="en-GB"/>
        </w:rPr>
        <w:t>R</w:t>
      </w:r>
      <w:r w:rsidR="00A92AD8" w:rsidRPr="0090445E">
        <w:rPr>
          <w:rFonts w:ascii="Arial" w:hAnsi="Arial" w:cs="Arial"/>
          <w:lang w:val="en-GB"/>
        </w:rPr>
        <w:t>omania</w:t>
      </w:r>
      <w:r w:rsidR="00807E8D" w:rsidRPr="0090445E">
        <w:rPr>
          <w:rFonts w:ascii="Arial" w:hAnsi="Arial" w:cs="Arial"/>
          <w:lang w:val="en-GB"/>
        </w:rPr>
        <w:t xml:space="preserve"> </w:t>
      </w:r>
      <w:r w:rsidR="00544530" w:rsidRPr="0090445E">
        <w:rPr>
          <w:rFonts w:ascii="Arial" w:hAnsi="Arial" w:cs="Arial"/>
          <w:lang w:val="en-GB"/>
        </w:rPr>
        <w:t xml:space="preserve">– </w:t>
      </w:r>
      <w:r w:rsidR="00807E8D" w:rsidRPr="0090445E">
        <w:rPr>
          <w:rFonts w:ascii="Arial" w:hAnsi="Arial" w:cs="Arial"/>
          <w:lang w:val="en-GB"/>
        </w:rPr>
        <w:t>B</w:t>
      </w:r>
      <w:r w:rsidR="00A92AD8" w:rsidRPr="0090445E">
        <w:rPr>
          <w:rFonts w:ascii="Arial" w:hAnsi="Arial" w:cs="Arial"/>
          <w:lang w:val="en-GB"/>
        </w:rPr>
        <w:t>ulgaria</w:t>
      </w:r>
      <w:r w:rsidR="00807E8D" w:rsidRPr="0090445E">
        <w:rPr>
          <w:rFonts w:ascii="Arial" w:hAnsi="Arial" w:cs="Arial"/>
          <w:lang w:val="en-GB"/>
        </w:rPr>
        <w:t xml:space="preserve"> </w:t>
      </w:r>
      <w:r w:rsidR="00544530" w:rsidRPr="0090445E">
        <w:rPr>
          <w:rFonts w:ascii="Arial" w:hAnsi="Arial" w:cs="Arial"/>
          <w:lang w:val="en-GB"/>
        </w:rPr>
        <w:t>border</w:t>
      </w:r>
      <w:r w:rsidR="00A31B9C" w:rsidRPr="0090445E">
        <w:rPr>
          <w:rFonts w:ascii="Arial" w:hAnsi="Arial" w:cs="Arial"/>
          <w:lang w:val="en-GB"/>
        </w:rPr>
        <w:t xml:space="preserve"> in SEE CCR and Romania – Hungary border in Core CCR</w:t>
      </w:r>
      <w:r w:rsidR="00544530" w:rsidRPr="0090445E">
        <w:rPr>
          <w:rFonts w:ascii="Arial" w:hAnsi="Arial" w:cs="Arial"/>
          <w:lang w:val="en-GB"/>
        </w:rPr>
        <w:t>.</w:t>
      </w:r>
      <w:r w:rsidR="009E3F51" w:rsidRPr="0090445E">
        <w:rPr>
          <w:rFonts w:ascii="Arial" w:hAnsi="Arial" w:cs="Arial"/>
          <w:lang w:val="en-GB"/>
        </w:rPr>
        <w:t xml:space="preserve"> Furthermore, </w:t>
      </w:r>
      <w:r w:rsidR="00071B3F" w:rsidRPr="0090445E">
        <w:rPr>
          <w:rFonts w:ascii="Arial" w:hAnsi="Arial" w:cs="Arial"/>
          <w:lang w:val="en-GB"/>
        </w:rPr>
        <w:t xml:space="preserve">for the </w:t>
      </w:r>
      <w:r w:rsidR="00A92AD8" w:rsidRPr="0090445E">
        <w:rPr>
          <w:rFonts w:ascii="Arial" w:hAnsi="Arial" w:cs="Arial"/>
          <w:lang w:val="en-GB"/>
        </w:rPr>
        <w:t>three</w:t>
      </w:r>
      <w:r w:rsidR="009E3F51" w:rsidRPr="0090445E">
        <w:rPr>
          <w:rFonts w:ascii="Arial" w:hAnsi="Arial" w:cs="Arial"/>
          <w:lang w:val="en-GB"/>
        </w:rPr>
        <w:t xml:space="preserve"> non-EU</w:t>
      </w:r>
      <w:r w:rsidR="00071B3F" w:rsidRPr="0090445E">
        <w:rPr>
          <w:rFonts w:ascii="Arial" w:hAnsi="Arial" w:cs="Arial"/>
          <w:lang w:val="en-GB"/>
        </w:rPr>
        <w:t xml:space="preserve"> borders</w:t>
      </w:r>
      <w:r w:rsidR="009E3F51" w:rsidRPr="0090445E">
        <w:rPr>
          <w:rFonts w:ascii="Arial" w:hAnsi="Arial" w:cs="Arial"/>
          <w:lang w:val="en-GB"/>
        </w:rPr>
        <w:t xml:space="preserve"> there is no coordinated capacity calculation</w:t>
      </w:r>
      <w:r w:rsidR="00A31B9C" w:rsidRPr="0090445E">
        <w:rPr>
          <w:rFonts w:ascii="Arial" w:hAnsi="Arial" w:cs="Arial"/>
          <w:lang w:val="en-GB"/>
        </w:rPr>
        <w:t xml:space="preserve"> at the present moment</w:t>
      </w:r>
      <w:r w:rsidR="009E3F51" w:rsidRPr="0090445E">
        <w:rPr>
          <w:rFonts w:ascii="Arial" w:hAnsi="Arial" w:cs="Arial"/>
          <w:lang w:val="en-GB"/>
        </w:rPr>
        <w:t>. The exchanges</w:t>
      </w:r>
      <w:r w:rsidR="00A31B9C" w:rsidRPr="0090445E">
        <w:rPr>
          <w:rFonts w:ascii="Arial" w:hAnsi="Arial" w:cs="Arial"/>
          <w:lang w:val="en-GB"/>
        </w:rPr>
        <w:t>,</w:t>
      </w:r>
      <w:r>
        <w:rPr>
          <w:rFonts w:ascii="Arial" w:hAnsi="Arial" w:cs="Arial"/>
          <w:lang w:val="en-GB"/>
        </w:rPr>
        <w:t xml:space="preserve"> </w:t>
      </w:r>
      <w:r w:rsidR="00A31B9C" w:rsidRPr="0090445E">
        <w:rPr>
          <w:rFonts w:ascii="Arial" w:hAnsi="Arial" w:cs="Arial"/>
          <w:lang w:val="en-GB"/>
        </w:rPr>
        <w:t xml:space="preserve">which are not included in the coordinated </w:t>
      </w:r>
      <w:r w:rsidR="00A31B9C" w:rsidRPr="0090445E">
        <w:rPr>
          <w:rFonts w:ascii="Arial" w:hAnsi="Arial" w:cs="Arial"/>
          <w:lang w:val="en-GB"/>
        </w:rPr>
        <w:lastRenderedPageBreak/>
        <w:t>calculation process of one CCR,</w:t>
      </w:r>
      <w:r w:rsidR="009E3F51" w:rsidRPr="0090445E">
        <w:rPr>
          <w:rFonts w:ascii="Arial" w:hAnsi="Arial" w:cs="Arial"/>
          <w:lang w:val="en-GB"/>
        </w:rPr>
        <w:t xml:space="preserve"> are considered fixed in coordinated capacity calculation</w:t>
      </w:r>
      <w:r w:rsidR="00A31B9C" w:rsidRPr="0090445E">
        <w:rPr>
          <w:rFonts w:ascii="Arial" w:hAnsi="Arial" w:cs="Arial"/>
          <w:lang w:val="en-GB"/>
        </w:rPr>
        <w:t xml:space="preserve"> (e.g.,</w:t>
      </w:r>
      <w:r w:rsidR="009E3F51" w:rsidRPr="0090445E">
        <w:rPr>
          <w:rFonts w:ascii="Arial" w:hAnsi="Arial" w:cs="Arial"/>
          <w:lang w:val="en-GB"/>
        </w:rPr>
        <w:t xml:space="preserve"> </w:t>
      </w:r>
      <w:r w:rsidR="00A31B9C" w:rsidRPr="0090445E">
        <w:rPr>
          <w:rFonts w:ascii="Arial" w:hAnsi="Arial" w:cs="Arial"/>
          <w:lang w:val="en-GB"/>
        </w:rPr>
        <w:t>in</w:t>
      </w:r>
      <w:r w:rsidR="009E3F51" w:rsidRPr="0090445E">
        <w:rPr>
          <w:rFonts w:ascii="Arial" w:hAnsi="Arial" w:cs="Arial"/>
          <w:lang w:val="en-GB"/>
        </w:rPr>
        <w:t xml:space="preserve"> Core CCR </w:t>
      </w:r>
      <w:r w:rsidR="00A31B9C" w:rsidRPr="0090445E">
        <w:rPr>
          <w:rFonts w:ascii="Arial" w:hAnsi="Arial" w:cs="Arial"/>
          <w:lang w:val="en-GB"/>
        </w:rPr>
        <w:t>the exchanges on the borders with Bulgaria, Serbia, Ukraine and Republic of Moldova are considered fixed in the common grid model)</w:t>
      </w:r>
      <w:r w:rsidR="009E3F51" w:rsidRPr="0090445E">
        <w:rPr>
          <w:rFonts w:ascii="Arial" w:hAnsi="Arial" w:cs="Arial"/>
          <w:lang w:val="en-GB"/>
        </w:rPr>
        <w:t xml:space="preserve">.  Any deviation from these values </w:t>
      </w:r>
      <w:r w:rsidR="00807E8D" w:rsidRPr="0090445E">
        <w:rPr>
          <w:rFonts w:ascii="Arial" w:hAnsi="Arial" w:cs="Arial"/>
          <w:lang w:val="en-GB"/>
        </w:rPr>
        <w:t xml:space="preserve">forecasted </w:t>
      </w:r>
      <w:r w:rsidR="009E3F51" w:rsidRPr="0090445E">
        <w:rPr>
          <w:rFonts w:ascii="Arial" w:hAnsi="Arial" w:cs="Arial"/>
          <w:lang w:val="en-GB"/>
        </w:rPr>
        <w:t xml:space="preserve">two days ahead will create a different loading on the critical network element with risks </w:t>
      </w:r>
      <w:r w:rsidR="003D193B">
        <w:rPr>
          <w:rFonts w:ascii="Arial" w:hAnsi="Arial" w:cs="Arial"/>
          <w:lang w:val="en-GB"/>
        </w:rPr>
        <w:t xml:space="preserve">regarding </w:t>
      </w:r>
      <w:r w:rsidR="009E3F51" w:rsidRPr="0090445E">
        <w:rPr>
          <w:rFonts w:ascii="Arial" w:hAnsi="Arial" w:cs="Arial"/>
          <w:lang w:val="en-GB"/>
        </w:rPr>
        <w:t>the operational security of the system.</w:t>
      </w:r>
    </w:p>
    <w:p w14:paraId="4F273F96" w14:textId="1152266D" w:rsidR="00DC6919" w:rsidRPr="0090445E" w:rsidRDefault="003D193B" w:rsidP="00A92AD8">
      <w:pPr>
        <w:pStyle w:val="ListParagraph"/>
        <w:widowControl w:val="0"/>
        <w:spacing w:after="120"/>
        <w:ind w:left="1134"/>
        <w:jc w:val="both"/>
        <w:rPr>
          <w:rFonts w:ascii="Arial" w:hAnsi="Arial" w:cs="Arial"/>
          <w:lang w:val="en-GB"/>
        </w:rPr>
      </w:pPr>
      <w:r>
        <w:rPr>
          <w:rFonts w:ascii="Arial" w:hAnsi="Arial" w:cs="Arial"/>
          <w:lang w:val="en-GB"/>
        </w:rPr>
        <w:t>Furthermore</w:t>
      </w:r>
      <w:r w:rsidR="005F2C03" w:rsidRPr="0090445E">
        <w:rPr>
          <w:rFonts w:ascii="Arial" w:hAnsi="Arial" w:cs="Arial"/>
          <w:lang w:val="en-GB"/>
        </w:rPr>
        <w:t xml:space="preserve">, </w:t>
      </w:r>
      <w:r w:rsidR="00A92AD8" w:rsidRPr="0090445E">
        <w:rPr>
          <w:rFonts w:ascii="Arial" w:hAnsi="Arial" w:cs="Arial"/>
          <w:lang w:val="en-GB"/>
        </w:rPr>
        <w:t xml:space="preserve">the </w:t>
      </w:r>
      <w:r w:rsidR="005F2C03" w:rsidRPr="0090445E">
        <w:rPr>
          <w:rFonts w:ascii="Arial" w:hAnsi="Arial" w:cs="Arial"/>
          <w:lang w:val="en-GB"/>
        </w:rPr>
        <w:t>lack of cross</w:t>
      </w:r>
      <w:r w:rsidR="00A92AD8" w:rsidRPr="0090445E">
        <w:rPr>
          <w:rFonts w:ascii="Arial" w:hAnsi="Arial" w:cs="Arial"/>
          <w:lang w:val="en-GB"/>
        </w:rPr>
        <w:t xml:space="preserve"> – </w:t>
      </w:r>
      <w:r w:rsidR="005F2C03" w:rsidRPr="0090445E">
        <w:rPr>
          <w:rFonts w:ascii="Arial" w:hAnsi="Arial" w:cs="Arial"/>
          <w:lang w:val="en-GB"/>
        </w:rPr>
        <w:t>CCR coordination becomes critical for Romania in cases with high export from the southeast part of continental Europe towards the central area. More specifically, the periods when Romania imports from Bulgaria and Serbia (south</w:t>
      </w:r>
      <w:r w:rsidR="00A92AD8" w:rsidRPr="0090445E">
        <w:rPr>
          <w:rFonts w:ascii="Arial" w:hAnsi="Arial" w:cs="Arial"/>
          <w:lang w:val="en-GB"/>
        </w:rPr>
        <w:t>ern</w:t>
      </w:r>
      <w:r w:rsidR="005F2C03" w:rsidRPr="0090445E">
        <w:rPr>
          <w:rFonts w:ascii="Arial" w:hAnsi="Arial" w:cs="Arial"/>
          <w:lang w:val="en-GB"/>
        </w:rPr>
        <w:t xml:space="preserve"> borders) and export</w:t>
      </w:r>
      <w:r w:rsidR="008D5FC1">
        <w:rPr>
          <w:rFonts w:ascii="Arial" w:hAnsi="Arial" w:cs="Arial"/>
          <w:lang w:val="en-GB"/>
        </w:rPr>
        <w:t>s</w:t>
      </w:r>
      <w:r w:rsidR="005F2C03" w:rsidRPr="0090445E">
        <w:rPr>
          <w:rFonts w:ascii="Arial" w:hAnsi="Arial" w:cs="Arial"/>
          <w:lang w:val="en-GB"/>
        </w:rPr>
        <w:t xml:space="preserve"> to Hungary</w:t>
      </w:r>
      <w:r w:rsidR="00A92AD8" w:rsidRPr="0090445E">
        <w:rPr>
          <w:rFonts w:ascii="Arial" w:hAnsi="Arial" w:cs="Arial"/>
          <w:lang w:val="en-GB"/>
        </w:rPr>
        <w:t>,</w:t>
      </w:r>
      <w:r w:rsidR="005F2C03" w:rsidRPr="0090445E">
        <w:rPr>
          <w:rFonts w:ascii="Arial" w:hAnsi="Arial" w:cs="Arial"/>
          <w:lang w:val="en-GB"/>
        </w:rPr>
        <w:t xml:space="preserve"> Ukraine </w:t>
      </w:r>
      <w:r w:rsidR="00A92AD8" w:rsidRPr="0090445E">
        <w:rPr>
          <w:rFonts w:ascii="Arial" w:hAnsi="Arial" w:cs="Arial"/>
          <w:lang w:val="en-GB"/>
        </w:rPr>
        <w:t xml:space="preserve">and Republic of Moldova </w:t>
      </w:r>
      <w:r w:rsidR="005F2C03" w:rsidRPr="0090445E">
        <w:rPr>
          <w:rFonts w:ascii="Arial" w:hAnsi="Arial" w:cs="Arial"/>
          <w:lang w:val="en-GB"/>
        </w:rPr>
        <w:t>(west and north-west borders) involves</w:t>
      </w:r>
      <w:r w:rsidR="00A92AD8" w:rsidRPr="0090445E">
        <w:rPr>
          <w:rFonts w:ascii="Arial" w:hAnsi="Arial" w:cs="Arial"/>
          <w:lang w:val="en-GB"/>
        </w:rPr>
        <w:t xml:space="preserve"> a</w:t>
      </w:r>
      <w:r w:rsidR="005F2C03" w:rsidRPr="0090445E">
        <w:rPr>
          <w:rFonts w:ascii="Arial" w:hAnsi="Arial" w:cs="Arial"/>
          <w:lang w:val="en-GB"/>
        </w:rPr>
        <w:t xml:space="preserve"> major stress </w:t>
      </w:r>
      <w:r w:rsidR="00807E8D" w:rsidRPr="0090445E">
        <w:rPr>
          <w:rFonts w:ascii="Arial" w:hAnsi="Arial" w:cs="Arial"/>
          <w:lang w:val="en-GB"/>
        </w:rPr>
        <w:t xml:space="preserve">for </w:t>
      </w:r>
      <w:r w:rsidR="005F2C03" w:rsidRPr="0090445E">
        <w:rPr>
          <w:rFonts w:ascii="Arial" w:hAnsi="Arial" w:cs="Arial"/>
          <w:lang w:val="en-GB"/>
        </w:rPr>
        <w:t>the system with higher</w:t>
      </w:r>
      <w:r w:rsidR="00A92AD8" w:rsidRPr="0090445E">
        <w:rPr>
          <w:rFonts w:ascii="Arial" w:hAnsi="Arial" w:cs="Arial"/>
          <w:lang w:val="en-GB"/>
        </w:rPr>
        <w:t xml:space="preserve"> than normal</w:t>
      </w:r>
      <w:r w:rsidR="005F2C03" w:rsidRPr="0090445E">
        <w:rPr>
          <w:rFonts w:ascii="Arial" w:hAnsi="Arial" w:cs="Arial"/>
          <w:lang w:val="en-GB"/>
        </w:rPr>
        <w:t xml:space="preserve"> power flows on the transmission grid. </w:t>
      </w:r>
      <w:r w:rsidR="00DC6919" w:rsidRPr="0090445E">
        <w:rPr>
          <w:rFonts w:ascii="Arial" w:hAnsi="Arial" w:cs="Arial"/>
          <w:lang w:val="en-GB"/>
        </w:rPr>
        <w:t xml:space="preserve">These </w:t>
      </w:r>
      <w:r w:rsidR="00404C2F" w:rsidRPr="0090445E">
        <w:rPr>
          <w:rFonts w:ascii="Arial" w:hAnsi="Arial" w:cs="Arial"/>
          <w:lang w:val="en-GB"/>
        </w:rPr>
        <w:t xml:space="preserve">uncoordinated </w:t>
      </w:r>
      <w:r w:rsidR="00DC6919" w:rsidRPr="0090445E">
        <w:rPr>
          <w:rFonts w:ascii="Arial" w:hAnsi="Arial" w:cs="Arial"/>
          <w:lang w:val="en-GB"/>
        </w:rPr>
        <w:t>transits through Romania correlated with</w:t>
      </w:r>
      <w:r w:rsidR="00A92AD8" w:rsidRPr="0090445E">
        <w:rPr>
          <w:rFonts w:ascii="Arial" w:hAnsi="Arial" w:cs="Arial"/>
          <w:lang w:val="en-GB"/>
        </w:rPr>
        <w:t xml:space="preserve"> a</w:t>
      </w:r>
      <w:r w:rsidR="00DC6919" w:rsidRPr="0090445E">
        <w:rPr>
          <w:rFonts w:ascii="Arial" w:hAnsi="Arial" w:cs="Arial"/>
          <w:lang w:val="en-GB"/>
        </w:rPr>
        <w:t xml:space="preserve"> high generation in the wind and hydro power plants from the south</w:t>
      </w:r>
      <w:r w:rsidR="00A92AD8" w:rsidRPr="0090445E">
        <w:rPr>
          <w:rFonts w:ascii="Arial" w:hAnsi="Arial" w:cs="Arial"/>
          <w:lang w:val="en-GB"/>
        </w:rPr>
        <w:t>ern</w:t>
      </w:r>
      <w:r w:rsidR="00DC6919" w:rsidRPr="0090445E">
        <w:rPr>
          <w:rFonts w:ascii="Arial" w:hAnsi="Arial" w:cs="Arial"/>
          <w:lang w:val="en-GB"/>
        </w:rPr>
        <w:t xml:space="preserve"> part of Romania lead to:</w:t>
      </w:r>
    </w:p>
    <w:p w14:paraId="2FBF4305" w14:textId="03378129" w:rsidR="00DC6919" w:rsidRPr="0090445E" w:rsidRDefault="00DC6919" w:rsidP="00A92AD8">
      <w:pPr>
        <w:pStyle w:val="ListParagraph"/>
        <w:widowControl w:val="0"/>
        <w:spacing w:after="120"/>
        <w:ind w:left="1134"/>
        <w:jc w:val="both"/>
        <w:rPr>
          <w:rFonts w:ascii="Arial" w:hAnsi="Arial" w:cs="Arial"/>
          <w:lang w:val="en-GB"/>
        </w:rPr>
      </w:pPr>
      <w:r w:rsidRPr="0090445E">
        <w:rPr>
          <w:rFonts w:ascii="Arial" w:hAnsi="Arial" w:cs="Arial"/>
          <w:lang w:val="en-GB"/>
        </w:rPr>
        <w:t xml:space="preserve">- increasing the power flows on the internal elements 400 kV </w:t>
      </w:r>
      <w:r w:rsidR="00A92AD8" w:rsidRPr="0090445E">
        <w:rPr>
          <w:rFonts w:ascii="Arial" w:hAnsi="Arial" w:cs="Arial"/>
          <w:lang w:val="en-GB"/>
        </w:rPr>
        <w:t xml:space="preserve">OHL </w:t>
      </w:r>
      <w:r w:rsidRPr="0090445E">
        <w:rPr>
          <w:rFonts w:ascii="Arial" w:hAnsi="Arial" w:cs="Arial"/>
          <w:lang w:val="en-GB"/>
        </w:rPr>
        <w:t>Smârdan</w:t>
      </w:r>
      <w:r w:rsidR="00A92AD8" w:rsidRPr="0090445E">
        <w:rPr>
          <w:rFonts w:ascii="Arial" w:hAnsi="Arial" w:cs="Arial"/>
          <w:lang w:val="en-GB"/>
        </w:rPr>
        <w:t xml:space="preserve"> –</w:t>
      </w:r>
      <w:r w:rsidRPr="0090445E">
        <w:rPr>
          <w:rFonts w:ascii="Arial" w:hAnsi="Arial" w:cs="Arial"/>
          <w:lang w:val="en-GB"/>
        </w:rPr>
        <w:t xml:space="preserve"> Gutinaș, </w:t>
      </w:r>
      <w:r w:rsidR="000353A8">
        <w:rPr>
          <w:rFonts w:ascii="Arial" w:hAnsi="Arial" w:cs="Arial"/>
          <w:lang w:val="en-GB"/>
        </w:rPr>
        <w:t xml:space="preserve">400 kV OHL </w:t>
      </w:r>
      <w:r w:rsidRPr="0090445E">
        <w:rPr>
          <w:rFonts w:ascii="Arial" w:hAnsi="Arial" w:cs="Arial"/>
          <w:lang w:val="en-GB"/>
        </w:rPr>
        <w:t xml:space="preserve">Gura Ialomiței </w:t>
      </w:r>
      <w:r w:rsidR="00A92AD8" w:rsidRPr="0090445E">
        <w:rPr>
          <w:rFonts w:ascii="Arial" w:hAnsi="Arial" w:cs="Arial"/>
          <w:lang w:val="en-GB"/>
        </w:rPr>
        <w:t>–</w:t>
      </w:r>
      <w:r w:rsidRPr="0090445E">
        <w:rPr>
          <w:rFonts w:ascii="Arial" w:hAnsi="Arial" w:cs="Arial"/>
          <w:lang w:val="en-GB"/>
        </w:rPr>
        <w:t xml:space="preserve"> București Sud</w:t>
      </w:r>
      <w:r w:rsidR="00E82F75" w:rsidRPr="0090445E">
        <w:rPr>
          <w:rFonts w:ascii="Arial" w:hAnsi="Arial" w:cs="Arial"/>
          <w:lang w:val="en-GB"/>
        </w:rPr>
        <w:t>,</w:t>
      </w:r>
      <w:r w:rsidRPr="0090445E">
        <w:rPr>
          <w:rFonts w:ascii="Arial" w:hAnsi="Arial" w:cs="Arial"/>
          <w:lang w:val="en-GB"/>
        </w:rPr>
        <w:t xml:space="preserve"> </w:t>
      </w:r>
      <w:r w:rsidR="000353A8">
        <w:rPr>
          <w:rFonts w:ascii="Arial" w:hAnsi="Arial" w:cs="Arial"/>
          <w:lang w:val="en-GB"/>
        </w:rPr>
        <w:t xml:space="preserve">400 kV OHL </w:t>
      </w:r>
      <w:r w:rsidRPr="0090445E">
        <w:rPr>
          <w:rFonts w:ascii="Arial" w:hAnsi="Arial" w:cs="Arial"/>
          <w:lang w:val="en-GB"/>
        </w:rPr>
        <w:t xml:space="preserve">Pelicanu </w:t>
      </w:r>
      <w:r w:rsidR="00A92AD8" w:rsidRPr="0090445E">
        <w:rPr>
          <w:rFonts w:ascii="Arial" w:hAnsi="Arial" w:cs="Arial"/>
          <w:lang w:val="en-GB"/>
        </w:rPr>
        <w:t>–</w:t>
      </w:r>
      <w:r w:rsidRPr="0090445E">
        <w:rPr>
          <w:rFonts w:ascii="Arial" w:hAnsi="Arial" w:cs="Arial"/>
          <w:lang w:val="en-GB"/>
        </w:rPr>
        <w:t xml:space="preserve"> București Sud</w:t>
      </w:r>
      <w:r w:rsidR="00E82F75" w:rsidRPr="0090445E">
        <w:rPr>
          <w:rFonts w:ascii="Arial" w:hAnsi="Arial" w:cs="Arial"/>
          <w:lang w:val="en-GB"/>
        </w:rPr>
        <w:t xml:space="preserve"> and </w:t>
      </w:r>
      <w:r w:rsidR="000353A8">
        <w:rPr>
          <w:rFonts w:ascii="Arial" w:hAnsi="Arial" w:cs="Arial"/>
          <w:lang w:val="en-GB"/>
        </w:rPr>
        <w:t xml:space="preserve">400 kV OHL </w:t>
      </w:r>
      <w:r w:rsidR="00E82F75" w:rsidRPr="0090445E">
        <w:rPr>
          <w:rFonts w:ascii="Arial" w:hAnsi="Arial" w:cs="Arial"/>
          <w:lang w:val="en-GB"/>
        </w:rPr>
        <w:t>Isaccea – Vulcănești</w:t>
      </w:r>
      <w:r w:rsidRPr="0090445E">
        <w:rPr>
          <w:rFonts w:ascii="Arial" w:hAnsi="Arial" w:cs="Arial"/>
          <w:lang w:val="en-GB"/>
        </w:rPr>
        <w:t xml:space="preserve"> due to the fact that the 400 kV OHL </w:t>
      </w:r>
      <w:r w:rsidR="00E82F75" w:rsidRPr="0090445E">
        <w:rPr>
          <w:rFonts w:ascii="Arial" w:hAnsi="Arial" w:cs="Arial"/>
          <w:lang w:val="en-GB"/>
        </w:rPr>
        <w:t>Medgidia Sud</w:t>
      </w:r>
      <w:r w:rsidR="00A92AD8" w:rsidRPr="0090445E">
        <w:rPr>
          <w:rFonts w:ascii="Arial" w:hAnsi="Arial" w:cs="Arial"/>
          <w:lang w:val="en-GB"/>
        </w:rPr>
        <w:t>–</w:t>
      </w:r>
      <w:r w:rsidRPr="0090445E">
        <w:rPr>
          <w:rFonts w:ascii="Arial" w:hAnsi="Arial" w:cs="Arial"/>
          <w:lang w:val="en-GB"/>
        </w:rPr>
        <w:t xml:space="preserve"> Dobrudja and </w:t>
      </w:r>
      <w:r w:rsidR="00E82F75" w:rsidRPr="0090445E">
        <w:rPr>
          <w:rFonts w:ascii="Arial" w:hAnsi="Arial" w:cs="Arial"/>
          <w:lang w:val="en-GB"/>
        </w:rPr>
        <w:t>Medgidia Sud</w:t>
      </w:r>
      <w:r w:rsidR="00A92AD8" w:rsidRPr="0090445E">
        <w:rPr>
          <w:rFonts w:ascii="Arial" w:hAnsi="Arial" w:cs="Arial"/>
          <w:lang w:val="en-GB"/>
        </w:rPr>
        <w:t>–</w:t>
      </w:r>
      <w:r w:rsidRPr="0090445E">
        <w:rPr>
          <w:rFonts w:ascii="Arial" w:hAnsi="Arial" w:cs="Arial"/>
          <w:lang w:val="en-GB"/>
        </w:rPr>
        <w:t xml:space="preserve"> Varna </w:t>
      </w:r>
      <w:r w:rsidR="00A92AD8" w:rsidRPr="0090445E">
        <w:rPr>
          <w:rFonts w:ascii="Arial" w:hAnsi="Arial" w:cs="Arial"/>
          <w:lang w:val="en-GB"/>
        </w:rPr>
        <w:t xml:space="preserve">tie-lines </w:t>
      </w:r>
      <w:r w:rsidRPr="0090445E">
        <w:rPr>
          <w:rFonts w:ascii="Arial" w:hAnsi="Arial" w:cs="Arial"/>
          <w:lang w:val="en-GB"/>
        </w:rPr>
        <w:t>have a low power flow;</w:t>
      </w:r>
    </w:p>
    <w:p w14:paraId="1B9C1223" w14:textId="77003FDA" w:rsidR="00DC6919" w:rsidRPr="0090445E" w:rsidRDefault="00DC6919" w:rsidP="00DE175E">
      <w:pPr>
        <w:pStyle w:val="ListParagraph"/>
        <w:widowControl w:val="0"/>
        <w:spacing w:after="0"/>
        <w:ind w:left="1134"/>
        <w:contextualSpacing w:val="0"/>
        <w:jc w:val="both"/>
        <w:rPr>
          <w:rFonts w:ascii="Arial" w:hAnsi="Arial" w:cs="Arial"/>
          <w:lang w:val="en-GB"/>
        </w:rPr>
      </w:pPr>
      <w:r w:rsidRPr="0090445E">
        <w:rPr>
          <w:rFonts w:ascii="Arial" w:hAnsi="Arial" w:cs="Arial"/>
          <w:lang w:val="en-GB"/>
        </w:rPr>
        <w:t xml:space="preserve">- increasing the power flows on the 220 kV network in the southwest part of the country due to the fact that the tie-lines 400 kV Țânțăreni </w:t>
      </w:r>
      <w:r w:rsidR="00A92AD8" w:rsidRPr="0090445E">
        <w:rPr>
          <w:rFonts w:ascii="Arial" w:hAnsi="Arial" w:cs="Arial"/>
          <w:lang w:val="en-GB"/>
        </w:rPr>
        <w:t>–</w:t>
      </w:r>
      <w:r w:rsidRPr="0090445E">
        <w:rPr>
          <w:rFonts w:ascii="Arial" w:hAnsi="Arial" w:cs="Arial"/>
          <w:lang w:val="en-GB"/>
        </w:rPr>
        <w:t xml:space="preserve"> Kozlodui</w:t>
      </w:r>
      <w:r w:rsidR="00A92AD8" w:rsidRPr="0090445E">
        <w:rPr>
          <w:rFonts w:ascii="Arial" w:hAnsi="Arial" w:cs="Arial"/>
          <w:lang w:val="en-GB"/>
        </w:rPr>
        <w:t xml:space="preserve"> d.c.</w:t>
      </w:r>
      <w:r w:rsidRPr="0090445E">
        <w:rPr>
          <w:rFonts w:ascii="Arial" w:hAnsi="Arial" w:cs="Arial"/>
          <w:lang w:val="en-GB"/>
        </w:rPr>
        <w:t xml:space="preserve"> take over most of the import from Bulgaria and </w:t>
      </w:r>
      <w:r w:rsidR="00751B8F">
        <w:rPr>
          <w:rFonts w:ascii="Arial" w:hAnsi="Arial" w:cs="Arial"/>
          <w:lang w:val="en-GB"/>
        </w:rPr>
        <w:t>it</w:t>
      </w:r>
      <w:r w:rsidRPr="0090445E">
        <w:rPr>
          <w:rFonts w:ascii="Arial" w:hAnsi="Arial" w:cs="Arial"/>
          <w:lang w:val="en-GB"/>
        </w:rPr>
        <w:t xml:space="preserve"> </w:t>
      </w:r>
      <w:r w:rsidR="00775D21" w:rsidRPr="0090445E">
        <w:rPr>
          <w:rFonts w:ascii="Arial" w:hAnsi="Arial" w:cs="Arial"/>
          <w:lang w:val="en-GB"/>
        </w:rPr>
        <w:t>is</w:t>
      </w:r>
      <w:r w:rsidR="00751B8F">
        <w:rPr>
          <w:rFonts w:ascii="Arial" w:hAnsi="Arial" w:cs="Arial"/>
          <w:lang w:val="en-GB"/>
        </w:rPr>
        <w:t xml:space="preserve"> then</w:t>
      </w:r>
      <w:r w:rsidRPr="0090445E">
        <w:rPr>
          <w:rFonts w:ascii="Arial" w:hAnsi="Arial" w:cs="Arial"/>
          <w:lang w:val="en-GB"/>
        </w:rPr>
        <w:t xml:space="preserve"> transferred to the west</w:t>
      </w:r>
      <w:r w:rsidR="00775D21" w:rsidRPr="0090445E">
        <w:rPr>
          <w:rFonts w:ascii="Arial" w:hAnsi="Arial" w:cs="Arial"/>
          <w:lang w:val="en-GB"/>
        </w:rPr>
        <w:t>ern</w:t>
      </w:r>
      <w:r w:rsidRPr="0090445E">
        <w:rPr>
          <w:rFonts w:ascii="Arial" w:hAnsi="Arial" w:cs="Arial"/>
          <w:lang w:val="en-GB"/>
        </w:rPr>
        <w:t xml:space="preserve"> area mostly through 220 kV network elements.</w:t>
      </w:r>
    </w:p>
    <w:p w14:paraId="1D6802F8" w14:textId="21AE7161" w:rsidR="00175357" w:rsidRPr="0090445E" w:rsidRDefault="00DC6919" w:rsidP="00DC6919">
      <w:pPr>
        <w:pStyle w:val="ListParagraph"/>
        <w:widowControl w:val="0"/>
        <w:spacing w:after="120"/>
        <w:ind w:left="1134"/>
        <w:contextualSpacing w:val="0"/>
        <w:jc w:val="both"/>
        <w:rPr>
          <w:rFonts w:ascii="Arial" w:hAnsi="Arial" w:cs="Arial"/>
          <w:lang w:val="en-GB"/>
        </w:rPr>
      </w:pPr>
      <w:r w:rsidRPr="0090445E">
        <w:rPr>
          <w:rFonts w:ascii="Arial" w:hAnsi="Arial" w:cs="Arial"/>
          <w:lang w:val="en-GB"/>
        </w:rPr>
        <w:t>These transits create (N-1) violations in the transmission grid which cannot be addressed w</w:t>
      </w:r>
      <w:r w:rsidR="005F2C03" w:rsidRPr="0090445E">
        <w:rPr>
          <w:rFonts w:ascii="Arial" w:hAnsi="Arial" w:cs="Arial"/>
          <w:lang w:val="en-GB"/>
        </w:rPr>
        <w:t>ithout coordinated remedial actions for redispatching and countertrading.</w:t>
      </w:r>
    </w:p>
    <w:p w14:paraId="13FB1846" w14:textId="45FBEA23" w:rsidR="009D1B8F" w:rsidRPr="0090445E" w:rsidRDefault="00175357">
      <w:pPr>
        <w:pStyle w:val="ListParagraph"/>
        <w:widowControl w:val="0"/>
        <w:numPr>
          <w:ilvl w:val="0"/>
          <w:numId w:val="14"/>
        </w:numPr>
        <w:spacing w:after="60"/>
        <w:ind w:left="1134"/>
        <w:jc w:val="both"/>
        <w:rPr>
          <w:rFonts w:ascii="Arial" w:hAnsi="Arial" w:cs="Arial"/>
          <w:lang w:val="en-GB"/>
        </w:rPr>
      </w:pPr>
      <w:r w:rsidRPr="0090445E">
        <w:rPr>
          <w:rFonts w:ascii="Arial" w:hAnsi="Arial" w:cs="Arial"/>
          <w:b/>
          <w:bCs/>
          <w:i/>
          <w:iCs/>
          <w:lang w:val="en-GB"/>
        </w:rPr>
        <w:t xml:space="preserve">Margin for uncoordinated </w:t>
      </w:r>
      <w:r w:rsidRPr="0090445E">
        <w:rPr>
          <w:rFonts w:ascii="Arial" w:hAnsi="Arial" w:cs="Arial"/>
          <w:b/>
          <w:bCs/>
          <w:lang w:val="en-GB"/>
        </w:rPr>
        <w:t>transits (unreliable forecast)</w:t>
      </w:r>
      <w:r w:rsidR="00B70656" w:rsidRPr="0090445E">
        <w:rPr>
          <w:rFonts w:ascii="Arial" w:hAnsi="Arial" w:cs="Arial"/>
          <w:b/>
          <w:bCs/>
          <w:lang w:val="en-GB"/>
        </w:rPr>
        <w:t>.</w:t>
      </w:r>
      <w:r w:rsidRPr="0090445E">
        <w:rPr>
          <w:rFonts w:ascii="Arial" w:hAnsi="Arial" w:cs="Arial"/>
          <w:lang w:val="en-GB"/>
        </w:rPr>
        <w:t xml:space="preserve"> </w:t>
      </w:r>
    </w:p>
    <w:p w14:paraId="3E2C3528" w14:textId="5F9E9870" w:rsidR="003E0349" w:rsidRPr="0090445E" w:rsidRDefault="00175357" w:rsidP="002010C2">
      <w:pPr>
        <w:pStyle w:val="ListParagraph"/>
        <w:widowControl w:val="0"/>
        <w:spacing w:after="120"/>
        <w:ind w:left="1134"/>
        <w:contextualSpacing w:val="0"/>
        <w:jc w:val="both"/>
        <w:rPr>
          <w:rFonts w:ascii="Arial" w:hAnsi="Arial" w:cs="Arial"/>
          <w:lang w:val="en-GB"/>
        </w:rPr>
      </w:pPr>
      <w:r w:rsidRPr="0090445E">
        <w:rPr>
          <w:rFonts w:ascii="Arial" w:hAnsi="Arial" w:cs="Arial"/>
          <w:lang w:val="en-GB"/>
        </w:rPr>
        <w:t>For the determination of the capacities to be offered for the cross-zonal trade according to ACER</w:t>
      </w:r>
      <w:r w:rsidR="00B05348" w:rsidRPr="0090445E">
        <w:rPr>
          <w:rFonts w:ascii="Arial" w:hAnsi="Arial" w:cs="Arial"/>
          <w:lang w:val="en-GB"/>
        </w:rPr>
        <w:t>’</w:t>
      </w:r>
      <w:r w:rsidRPr="0090445E">
        <w:rPr>
          <w:rFonts w:ascii="Arial" w:hAnsi="Arial" w:cs="Arial"/>
          <w:lang w:val="en-GB"/>
        </w:rPr>
        <w:t xml:space="preserve">s Recommendation (No. 1/2019), netting of flows outside of the coordination area (MNCCs) is envisaged. These MNCCs are to be calculated based on </w:t>
      </w:r>
      <w:r w:rsidR="00A45ED2" w:rsidRPr="0090445E">
        <w:rPr>
          <w:rFonts w:ascii="Arial" w:hAnsi="Arial" w:cs="Arial"/>
          <w:lang w:val="en-GB"/>
        </w:rPr>
        <w:t>un</w:t>
      </w:r>
      <w:r w:rsidRPr="0090445E">
        <w:rPr>
          <w:rFonts w:ascii="Arial" w:hAnsi="Arial" w:cs="Arial"/>
          <w:lang w:val="en-GB"/>
        </w:rPr>
        <w:t xml:space="preserve">coordinated and </w:t>
      </w:r>
      <w:r w:rsidR="00A45ED2" w:rsidRPr="0090445E">
        <w:rPr>
          <w:rFonts w:ascii="Arial" w:hAnsi="Arial" w:cs="Arial"/>
          <w:lang w:val="en-GB"/>
        </w:rPr>
        <w:t>un</w:t>
      </w:r>
      <w:r w:rsidRPr="0090445E">
        <w:rPr>
          <w:rFonts w:ascii="Arial" w:hAnsi="Arial" w:cs="Arial"/>
          <w:lang w:val="en-GB"/>
        </w:rPr>
        <w:t xml:space="preserve">harmonized forecasts. As the </w:t>
      </w:r>
      <w:r w:rsidR="00A45ED2" w:rsidRPr="0090445E">
        <w:rPr>
          <w:rFonts w:ascii="Arial" w:hAnsi="Arial" w:cs="Arial"/>
          <w:lang w:val="en-GB"/>
        </w:rPr>
        <w:t xml:space="preserve">nowadays </w:t>
      </w:r>
      <w:r w:rsidRPr="0090445E">
        <w:rPr>
          <w:rFonts w:ascii="Arial" w:hAnsi="Arial" w:cs="Arial"/>
          <w:lang w:val="en-GB"/>
        </w:rPr>
        <w:t xml:space="preserve">coordination areas are relatively small (especially for NTC based borders), and as there is no common, harmonized and reliable net-position or exchange forecast yet implemented in Europe, the application of such a methodology will inevitably lead to large uncertainties, which cannot be covered by a low reliability margin contained along with loop flows and internal flows within 30% of </w:t>
      </w:r>
      <w:r w:rsidR="00A45ED2" w:rsidRPr="0090445E">
        <w:rPr>
          <w:rFonts w:ascii="Arial" w:hAnsi="Arial" w:cs="Arial"/>
          <w:lang w:val="en-GB"/>
        </w:rPr>
        <w:t xml:space="preserve">the </w:t>
      </w:r>
      <w:r w:rsidRPr="0090445E">
        <w:rPr>
          <w:rFonts w:ascii="Arial" w:hAnsi="Arial" w:cs="Arial"/>
          <w:lang w:val="en-GB"/>
        </w:rPr>
        <w:t>capacity on each CNE</w:t>
      </w:r>
      <w:r w:rsidR="00A45ED2" w:rsidRPr="0090445E">
        <w:rPr>
          <w:rFonts w:ascii="Arial" w:hAnsi="Arial" w:cs="Arial"/>
          <w:lang w:val="en-GB"/>
        </w:rPr>
        <w:t>C</w:t>
      </w:r>
      <w:r w:rsidRPr="0090445E">
        <w:rPr>
          <w:rFonts w:ascii="Arial" w:hAnsi="Arial" w:cs="Arial"/>
          <w:lang w:val="en-GB"/>
        </w:rPr>
        <w:t xml:space="preserve">. Neglecting these </w:t>
      </w:r>
      <w:r w:rsidR="00A45ED2" w:rsidRPr="0090445E">
        <w:rPr>
          <w:rFonts w:ascii="Arial" w:hAnsi="Arial" w:cs="Arial"/>
          <w:lang w:val="en-GB"/>
        </w:rPr>
        <w:t xml:space="preserve">obvious </w:t>
      </w:r>
      <w:r w:rsidRPr="0090445E">
        <w:rPr>
          <w:rFonts w:ascii="Arial" w:hAnsi="Arial" w:cs="Arial"/>
          <w:lang w:val="en-GB"/>
        </w:rPr>
        <w:t>and foreseeable uncertainties can lead to high overloads to operational situations</w:t>
      </w:r>
      <w:r w:rsidR="006F580D" w:rsidRPr="0090445E">
        <w:rPr>
          <w:rFonts w:ascii="Arial" w:hAnsi="Arial" w:cs="Arial"/>
          <w:lang w:val="en-GB"/>
        </w:rPr>
        <w:t xml:space="preserve"> potentially dangerous,</w:t>
      </w:r>
      <w:r w:rsidRPr="0090445E">
        <w:rPr>
          <w:rFonts w:ascii="Arial" w:hAnsi="Arial" w:cs="Arial"/>
          <w:lang w:val="en-GB"/>
        </w:rPr>
        <w:t xml:space="preserve"> where the available remedial action portfolio (incl</w:t>
      </w:r>
      <w:r w:rsidR="00AF509C" w:rsidRPr="0090445E">
        <w:rPr>
          <w:rFonts w:ascii="Arial" w:hAnsi="Arial" w:cs="Arial"/>
          <w:lang w:val="en-GB"/>
        </w:rPr>
        <w:t>uding</w:t>
      </w:r>
      <w:r w:rsidRPr="0090445E">
        <w:rPr>
          <w:rFonts w:ascii="Arial" w:hAnsi="Arial" w:cs="Arial"/>
          <w:lang w:val="en-GB"/>
        </w:rPr>
        <w:t xml:space="preserve"> redispatch</w:t>
      </w:r>
      <w:r w:rsidR="009D1B8F" w:rsidRPr="0090445E">
        <w:rPr>
          <w:rFonts w:ascii="Arial" w:hAnsi="Arial" w:cs="Arial"/>
          <w:lang w:val="en-GB"/>
        </w:rPr>
        <w:t>ing</w:t>
      </w:r>
      <w:r w:rsidRPr="0090445E">
        <w:rPr>
          <w:rFonts w:ascii="Arial" w:hAnsi="Arial" w:cs="Arial"/>
          <w:lang w:val="en-GB"/>
        </w:rPr>
        <w:t>) is insufficient. This would</w:t>
      </w:r>
      <w:r w:rsidR="003E0349" w:rsidRPr="0090445E">
        <w:rPr>
          <w:rFonts w:ascii="Arial" w:hAnsi="Arial" w:cs="Arial"/>
          <w:lang w:val="en-GB"/>
        </w:rPr>
        <w:t xml:space="preserve"> severely</w:t>
      </w:r>
      <w:r w:rsidRPr="0090445E">
        <w:rPr>
          <w:rFonts w:ascii="Arial" w:hAnsi="Arial" w:cs="Arial"/>
          <w:lang w:val="en-GB"/>
        </w:rPr>
        <w:t xml:space="preserve"> endanger the operational security.</w:t>
      </w:r>
    </w:p>
    <w:p w14:paraId="17761BCC" w14:textId="624ADF78" w:rsidR="00BD5FC5" w:rsidRPr="0090445E" w:rsidRDefault="00BD5FC5" w:rsidP="003E0349">
      <w:pPr>
        <w:pStyle w:val="ListParagraph"/>
        <w:widowControl w:val="0"/>
        <w:numPr>
          <w:ilvl w:val="0"/>
          <w:numId w:val="18"/>
        </w:numPr>
        <w:jc w:val="both"/>
        <w:rPr>
          <w:rFonts w:ascii="Arial" w:hAnsi="Arial" w:cs="Arial"/>
          <w:b/>
          <w:i/>
          <w:lang w:val="en-GB"/>
        </w:rPr>
      </w:pPr>
      <w:r w:rsidRPr="0090445E">
        <w:rPr>
          <w:rFonts w:ascii="Arial" w:hAnsi="Arial" w:cs="Arial"/>
          <w:b/>
          <w:i/>
          <w:lang w:val="en-GB"/>
        </w:rPr>
        <w:t>Available cross-zonal capacity in 202</w:t>
      </w:r>
      <w:r w:rsidR="003E0349" w:rsidRPr="0090445E">
        <w:rPr>
          <w:rFonts w:ascii="Arial" w:hAnsi="Arial" w:cs="Arial"/>
          <w:b/>
          <w:i/>
          <w:lang w:val="en-GB"/>
        </w:rPr>
        <w:t>4</w:t>
      </w:r>
    </w:p>
    <w:p w14:paraId="1C0993A8" w14:textId="61D018A7" w:rsidR="006F580D" w:rsidRPr="0090445E" w:rsidRDefault="000C7919" w:rsidP="00370564">
      <w:pPr>
        <w:pStyle w:val="ListParagraph"/>
        <w:widowControl w:val="0"/>
        <w:spacing w:after="120"/>
        <w:ind w:left="1137"/>
        <w:jc w:val="both"/>
        <w:rPr>
          <w:rFonts w:ascii="Arial" w:hAnsi="Arial" w:cs="Arial"/>
          <w:lang w:val="en-GB"/>
        </w:rPr>
      </w:pPr>
      <w:r w:rsidRPr="0090445E">
        <w:rPr>
          <w:rFonts w:ascii="Arial" w:hAnsi="Arial" w:cs="Arial"/>
          <w:lang w:val="en-GB"/>
        </w:rPr>
        <w:t>The analysis of the capacity calculation results of the first three quarters of 202</w:t>
      </w:r>
      <w:r w:rsidR="003E0349" w:rsidRPr="0090445E">
        <w:rPr>
          <w:rFonts w:ascii="Arial" w:hAnsi="Arial" w:cs="Arial"/>
          <w:lang w:val="en-GB"/>
        </w:rPr>
        <w:t>4</w:t>
      </w:r>
      <w:r w:rsidRPr="0090445E">
        <w:rPr>
          <w:rFonts w:ascii="Arial" w:hAnsi="Arial" w:cs="Arial"/>
          <w:lang w:val="en-GB"/>
        </w:rPr>
        <w:t xml:space="preserve"> at Core and SEE CCR level show the following:</w:t>
      </w:r>
    </w:p>
    <w:p w14:paraId="4CF468C5" w14:textId="0B499C8E" w:rsidR="007650F2" w:rsidRPr="003E0349" w:rsidRDefault="00BF3870" w:rsidP="00370564">
      <w:pPr>
        <w:pStyle w:val="ListParagraph"/>
        <w:widowControl w:val="0"/>
        <w:numPr>
          <w:ilvl w:val="1"/>
          <w:numId w:val="21"/>
        </w:numPr>
        <w:spacing w:after="120"/>
        <w:jc w:val="both"/>
        <w:rPr>
          <w:rFonts w:ascii="Arial" w:hAnsi="Arial" w:cs="Arial"/>
          <w:lang w:val="en-GB"/>
        </w:rPr>
      </w:pPr>
      <w:r w:rsidRPr="0090445E">
        <w:rPr>
          <w:rFonts w:ascii="Arial" w:hAnsi="Arial" w:cs="Arial"/>
          <w:lang w:val="en-GB"/>
        </w:rPr>
        <w:t>f</w:t>
      </w:r>
      <w:r w:rsidR="00B05348" w:rsidRPr="0090445E">
        <w:rPr>
          <w:rFonts w:ascii="Arial" w:hAnsi="Arial" w:cs="Arial"/>
          <w:lang w:val="en-GB"/>
        </w:rPr>
        <w:t>or Romania – Hungary border the average value of the available cross-zonal capacity was 33,</w:t>
      </w:r>
      <w:r w:rsidR="003E0349" w:rsidRPr="0090445E">
        <w:rPr>
          <w:rFonts w:ascii="Arial" w:hAnsi="Arial" w:cs="Arial"/>
          <w:lang w:val="en-GB"/>
        </w:rPr>
        <w:t>3</w:t>
      </w:r>
      <w:r w:rsidR="00B05348" w:rsidRPr="0090445E">
        <w:rPr>
          <w:rFonts w:ascii="Arial" w:hAnsi="Arial" w:cs="Arial"/>
          <w:lang w:val="en-GB"/>
        </w:rPr>
        <w:t xml:space="preserve"> %, value that has been calculated according to ACER’s Recommendation (No. 1/2019), taking into account the element with the lowest available margin. </w:t>
      </w:r>
      <w:r w:rsidR="007650F2" w:rsidRPr="0090445E">
        <w:rPr>
          <w:rFonts w:ascii="Arial" w:hAnsi="Arial" w:cs="Arial"/>
          <w:lang w:val="en-GB"/>
        </w:rPr>
        <w:t xml:space="preserve">The minimum value by month was </w:t>
      </w:r>
      <w:r w:rsidR="003E0349" w:rsidRPr="003E0349">
        <w:rPr>
          <w:rFonts w:ascii="Arial" w:hAnsi="Arial" w:cs="Arial"/>
          <w:lang w:val="en-GB"/>
        </w:rPr>
        <w:t>in</w:t>
      </w:r>
      <w:r w:rsidR="003E0349">
        <w:rPr>
          <w:rFonts w:ascii="Arial" w:hAnsi="Arial" w:cs="Arial"/>
          <w:lang w:val="en-GB"/>
        </w:rPr>
        <w:t xml:space="preserve"> </w:t>
      </w:r>
      <w:r w:rsidR="003E0349">
        <w:rPr>
          <w:rFonts w:ascii="Arial" w:hAnsi="Arial" w:cs="Arial"/>
          <w:lang w:val="en-GB"/>
        </w:rPr>
        <w:lastRenderedPageBreak/>
        <w:t>July</w:t>
      </w:r>
      <w:r w:rsidR="007650F2" w:rsidRPr="003E0349">
        <w:rPr>
          <w:rFonts w:ascii="Arial" w:hAnsi="Arial" w:cs="Arial"/>
          <w:lang w:val="en-GB"/>
        </w:rPr>
        <w:t>, of 31,</w:t>
      </w:r>
      <w:r w:rsidR="003E0349">
        <w:rPr>
          <w:rFonts w:ascii="Arial" w:hAnsi="Arial" w:cs="Arial"/>
          <w:lang w:val="en-GB"/>
        </w:rPr>
        <w:t>1</w:t>
      </w:r>
      <w:r w:rsidR="007650F2" w:rsidRPr="003E0349">
        <w:rPr>
          <w:rFonts w:ascii="Arial" w:hAnsi="Arial" w:cs="Arial"/>
          <w:lang w:val="en-GB"/>
        </w:rPr>
        <w:t xml:space="preserve"> %, and the maximum value was for </w:t>
      </w:r>
      <w:r w:rsidR="003E0349">
        <w:rPr>
          <w:rFonts w:ascii="Arial" w:hAnsi="Arial" w:cs="Arial"/>
          <w:lang w:val="en-GB"/>
        </w:rPr>
        <w:t>February</w:t>
      </w:r>
      <w:r w:rsidR="003E0349" w:rsidRPr="003E0349">
        <w:rPr>
          <w:rFonts w:ascii="Arial" w:hAnsi="Arial" w:cs="Arial"/>
          <w:lang w:val="en-GB"/>
        </w:rPr>
        <w:t xml:space="preserve"> </w:t>
      </w:r>
      <w:r w:rsidR="007650F2" w:rsidRPr="003E0349">
        <w:rPr>
          <w:rFonts w:ascii="Arial" w:hAnsi="Arial" w:cs="Arial"/>
          <w:lang w:val="en-GB"/>
        </w:rPr>
        <w:t>and</w:t>
      </w:r>
      <w:r w:rsidR="00667ADF">
        <w:rPr>
          <w:rFonts w:ascii="Arial" w:hAnsi="Arial" w:cs="Arial"/>
          <w:lang w:val="en-GB"/>
        </w:rPr>
        <w:t xml:space="preserve"> </w:t>
      </w:r>
      <w:r w:rsidR="003E0349">
        <w:rPr>
          <w:rFonts w:ascii="Arial" w:hAnsi="Arial" w:cs="Arial"/>
          <w:lang w:val="en-GB"/>
        </w:rPr>
        <w:t>March</w:t>
      </w:r>
      <w:r w:rsidR="007650F2" w:rsidRPr="003E0349">
        <w:rPr>
          <w:rFonts w:ascii="Arial" w:hAnsi="Arial" w:cs="Arial"/>
          <w:lang w:val="en-GB"/>
        </w:rPr>
        <w:t>, of 3</w:t>
      </w:r>
      <w:r w:rsidR="003E0349">
        <w:rPr>
          <w:rFonts w:ascii="Arial" w:hAnsi="Arial" w:cs="Arial"/>
          <w:lang w:val="en-GB"/>
        </w:rPr>
        <w:t>4</w:t>
      </w:r>
      <w:r w:rsidR="007650F2" w:rsidRPr="003E0349">
        <w:rPr>
          <w:rFonts w:ascii="Arial" w:hAnsi="Arial" w:cs="Arial"/>
          <w:lang w:val="en-GB"/>
        </w:rPr>
        <w:t>,</w:t>
      </w:r>
      <w:r w:rsidR="003E0349">
        <w:rPr>
          <w:rFonts w:ascii="Arial" w:hAnsi="Arial" w:cs="Arial"/>
          <w:lang w:val="en-GB"/>
        </w:rPr>
        <w:t>8</w:t>
      </w:r>
      <w:r w:rsidR="007650F2" w:rsidRPr="003E0349">
        <w:rPr>
          <w:rFonts w:ascii="Arial" w:hAnsi="Arial" w:cs="Arial"/>
          <w:lang w:val="en-GB"/>
        </w:rPr>
        <w:t xml:space="preserve"> %. Moreover, in 1</w:t>
      </w:r>
      <w:r w:rsidR="003E0349">
        <w:rPr>
          <w:rFonts w:ascii="Arial" w:hAnsi="Arial" w:cs="Arial"/>
          <w:lang w:val="en-GB"/>
        </w:rPr>
        <w:t>0</w:t>
      </w:r>
      <w:r w:rsidR="007650F2" w:rsidRPr="003E0349">
        <w:rPr>
          <w:rFonts w:ascii="Arial" w:hAnsi="Arial" w:cs="Arial"/>
          <w:lang w:val="en-GB"/>
        </w:rPr>
        <w:t xml:space="preserve"> % of the analysed period, the values of the available margin for cross-zonal trade were under the target of 33% for 202</w:t>
      </w:r>
      <w:r w:rsidR="003E0349">
        <w:rPr>
          <w:rFonts w:ascii="Arial" w:hAnsi="Arial" w:cs="Arial"/>
          <w:lang w:val="en-GB"/>
        </w:rPr>
        <w:t>4</w:t>
      </w:r>
      <w:r w:rsidR="007650F2" w:rsidRPr="003E0349">
        <w:rPr>
          <w:rFonts w:ascii="Arial" w:hAnsi="Arial" w:cs="Arial"/>
          <w:lang w:val="en-GB"/>
        </w:rPr>
        <w:t>;</w:t>
      </w:r>
    </w:p>
    <w:p w14:paraId="3640CB65" w14:textId="6F4615F4" w:rsidR="000C7919" w:rsidRPr="003E0349" w:rsidRDefault="00BF3870" w:rsidP="00370564">
      <w:pPr>
        <w:pStyle w:val="ListParagraph"/>
        <w:widowControl w:val="0"/>
        <w:numPr>
          <w:ilvl w:val="1"/>
          <w:numId w:val="21"/>
        </w:numPr>
        <w:spacing w:after="120"/>
        <w:jc w:val="both"/>
        <w:rPr>
          <w:rFonts w:ascii="Arial" w:hAnsi="Arial" w:cs="Arial"/>
          <w:lang w:val="en-GB"/>
        </w:rPr>
      </w:pPr>
      <w:r w:rsidRPr="003E0349">
        <w:rPr>
          <w:rFonts w:ascii="Arial" w:hAnsi="Arial" w:cs="Arial"/>
          <w:lang w:val="en-GB"/>
        </w:rPr>
        <w:t>f</w:t>
      </w:r>
      <w:r w:rsidR="007650F2" w:rsidRPr="003E0349">
        <w:rPr>
          <w:rFonts w:ascii="Arial" w:hAnsi="Arial" w:cs="Arial"/>
          <w:lang w:val="en-GB"/>
        </w:rPr>
        <w:t xml:space="preserve">or Romania – Bulgaria </w:t>
      </w:r>
      <w:r w:rsidRPr="003E0349">
        <w:rPr>
          <w:rFonts w:ascii="Arial" w:hAnsi="Arial" w:cs="Arial"/>
          <w:lang w:val="en-GB"/>
        </w:rPr>
        <w:t xml:space="preserve">border the available capacity for cross-zonal trade was smaller than the target of 1560 MW for </w:t>
      </w:r>
      <w:r w:rsidR="003E0349">
        <w:rPr>
          <w:rFonts w:ascii="Arial" w:hAnsi="Arial" w:cs="Arial"/>
          <w:lang w:val="en-GB"/>
        </w:rPr>
        <w:t>16,5</w:t>
      </w:r>
      <w:r w:rsidRPr="003E0349">
        <w:rPr>
          <w:rFonts w:ascii="Arial" w:hAnsi="Arial" w:cs="Arial"/>
          <w:lang w:val="en-GB"/>
        </w:rPr>
        <w:t xml:space="preserve"> % of the time in import direction and for </w:t>
      </w:r>
      <w:r w:rsidR="003E0349">
        <w:rPr>
          <w:rFonts w:ascii="Arial" w:hAnsi="Arial" w:cs="Arial"/>
          <w:lang w:val="en-GB"/>
        </w:rPr>
        <w:t>16,9</w:t>
      </w:r>
      <w:r w:rsidRPr="003E0349">
        <w:rPr>
          <w:rFonts w:ascii="Arial" w:hAnsi="Arial" w:cs="Arial"/>
          <w:lang w:val="en-GB"/>
        </w:rPr>
        <w:t xml:space="preserve"> % of the time in export direction</w:t>
      </w:r>
      <w:r w:rsidR="003E0349">
        <w:rPr>
          <w:rFonts w:ascii="Arial" w:hAnsi="Arial" w:cs="Arial"/>
          <w:lang w:val="en-GB"/>
        </w:rPr>
        <w:t xml:space="preserve">, mainly </w:t>
      </w:r>
      <w:r w:rsidR="00CA6652">
        <w:rPr>
          <w:rFonts w:ascii="Arial" w:hAnsi="Arial" w:cs="Arial"/>
          <w:lang w:val="en-GB"/>
        </w:rPr>
        <w:t>because of</w:t>
      </w:r>
      <w:r w:rsidR="003E0349">
        <w:rPr>
          <w:rFonts w:ascii="Arial" w:hAnsi="Arial" w:cs="Arial"/>
          <w:lang w:val="en-GB"/>
        </w:rPr>
        <w:t xml:space="preserve"> the </w:t>
      </w:r>
      <w:r w:rsidR="00CA6652">
        <w:rPr>
          <w:rFonts w:ascii="Arial" w:hAnsi="Arial" w:cs="Arial"/>
          <w:lang w:val="en-GB"/>
        </w:rPr>
        <w:t>planned outage</w:t>
      </w:r>
      <w:r w:rsidR="003E0349">
        <w:rPr>
          <w:rFonts w:ascii="Arial" w:hAnsi="Arial" w:cs="Arial"/>
          <w:lang w:val="en-GB"/>
        </w:rPr>
        <w:t xml:space="preserve"> of the 400 kV OHL Țânțăreni – Kozlodui d.c. for major maintenance works</w:t>
      </w:r>
      <w:r w:rsidRPr="003E0349">
        <w:rPr>
          <w:rFonts w:ascii="Arial" w:hAnsi="Arial" w:cs="Arial"/>
          <w:lang w:val="en-GB"/>
        </w:rPr>
        <w:t xml:space="preserve">. For these periods, the average value of the results of the coordinated capacity calculation process in import direction was of </w:t>
      </w:r>
      <w:r w:rsidR="003E0349" w:rsidRPr="003E0349">
        <w:rPr>
          <w:rFonts w:ascii="Arial" w:hAnsi="Arial" w:cs="Arial"/>
          <w:lang w:val="en-GB"/>
        </w:rPr>
        <w:t>1</w:t>
      </w:r>
      <w:r w:rsidR="003E0349">
        <w:rPr>
          <w:rFonts w:ascii="Arial" w:hAnsi="Arial" w:cs="Arial"/>
          <w:lang w:val="en-GB"/>
        </w:rPr>
        <w:t>6</w:t>
      </w:r>
      <w:r w:rsidR="003E0349" w:rsidRPr="003E0349">
        <w:rPr>
          <w:rFonts w:ascii="Arial" w:hAnsi="Arial" w:cs="Arial"/>
          <w:lang w:val="en-GB"/>
        </w:rPr>
        <w:t xml:space="preserve">09 </w:t>
      </w:r>
      <w:r w:rsidRPr="003E0349">
        <w:rPr>
          <w:rFonts w:ascii="Arial" w:hAnsi="Arial" w:cs="Arial"/>
          <w:lang w:val="en-GB"/>
        </w:rPr>
        <w:t xml:space="preserve">MW and in export direction of </w:t>
      </w:r>
      <w:r w:rsidR="003E0349">
        <w:rPr>
          <w:rFonts w:ascii="Arial" w:hAnsi="Arial" w:cs="Arial"/>
          <w:lang w:val="en-GB"/>
        </w:rPr>
        <w:t>1599</w:t>
      </w:r>
      <w:r w:rsidRPr="003E0349">
        <w:rPr>
          <w:rFonts w:ascii="Arial" w:hAnsi="Arial" w:cs="Arial"/>
          <w:lang w:val="en-GB"/>
        </w:rPr>
        <w:t xml:space="preserve"> MW. </w:t>
      </w:r>
    </w:p>
    <w:p w14:paraId="4A8F796F" w14:textId="72911EED" w:rsidR="00370564" w:rsidRPr="003E0349" w:rsidRDefault="00370564" w:rsidP="00370564">
      <w:pPr>
        <w:pStyle w:val="ListParagraph"/>
        <w:widowControl w:val="0"/>
        <w:numPr>
          <w:ilvl w:val="0"/>
          <w:numId w:val="21"/>
        </w:numPr>
        <w:spacing w:after="120"/>
        <w:jc w:val="both"/>
        <w:rPr>
          <w:rFonts w:ascii="Arial" w:hAnsi="Arial" w:cs="Arial"/>
          <w:b/>
          <w:i/>
          <w:lang w:val="en-GB"/>
        </w:rPr>
      </w:pPr>
      <w:r w:rsidRPr="003E0349">
        <w:rPr>
          <w:rFonts w:ascii="Arial" w:hAnsi="Arial" w:cs="Arial"/>
          <w:b/>
          <w:i/>
          <w:lang w:val="en-GB"/>
        </w:rPr>
        <w:t>Investment projects for the network development.</w:t>
      </w:r>
    </w:p>
    <w:p w14:paraId="7F16BFE0" w14:textId="03DAD27D" w:rsidR="00370564" w:rsidRPr="003E0349" w:rsidRDefault="00370564" w:rsidP="005B1D68">
      <w:pPr>
        <w:widowControl w:val="0"/>
        <w:spacing w:after="120"/>
        <w:ind w:left="1134" w:firstLine="3"/>
        <w:jc w:val="both"/>
        <w:rPr>
          <w:rFonts w:ascii="Arial" w:hAnsi="Arial" w:cs="Arial"/>
          <w:lang w:val="en-GB"/>
        </w:rPr>
      </w:pPr>
      <w:r w:rsidRPr="003E0349">
        <w:rPr>
          <w:rFonts w:ascii="Arial" w:hAnsi="Arial" w:cs="Arial"/>
          <w:lang w:val="en-GB"/>
        </w:rPr>
        <w:t>According to the Action Plan approved by the Romanian Government, the investment projects for</w:t>
      </w:r>
      <w:r w:rsidR="00DC0F41">
        <w:rPr>
          <w:rFonts w:ascii="Arial" w:hAnsi="Arial" w:cs="Arial"/>
          <w:lang w:val="en-GB"/>
        </w:rPr>
        <w:t>e</w:t>
      </w:r>
      <w:r w:rsidRPr="003E0349">
        <w:rPr>
          <w:rFonts w:ascii="Arial" w:hAnsi="Arial" w:cs="Arial"/>
          <w:lang w:val="en-GB"/>
        </w:rPr>
        <w:t>seen for the increase of the available cross-border capacity are the following:</w:t>
      </w:r>
    </w:p>
    <w:p w14:paraId="56E36317" w14:textId="195EB389" w:rsidR="00370564" w:rsidRPr="003E0349" w:rsidRDefault="00370564" w:rsidP="00370564">
      <w:pPr>
        <w:widowControl w:val="0"/>
        <w:spacing w:after="120"/>
        <w:ind w:left="777" w:firstLine="360"/>
        <w:jc w:val="both"/>
        <w:rPr>
          <w:rFonts w:ascii="Arial" w:hAnsi="Arial" w:cs="Arial"/>
          <w:lang w:val="en-GB"/>
        </w:rPr>
      </w:pPr>
      <w:r w:rsidRPr="003E0349">
        <w:rPr>
          <w:rFonts w:ascii="Arial" w:hAnsi="Arial" w:cs="Arial"/>
          <w:lang w:val="en-GB"/>
        </w:rPr>
        <w:t>- OHL 400 kV d.c. Reșița – Timișoara – Săcălaz, including a new 400 kV Timișoara substation</w:t>
      </w:r>
      <w:r w:rsidR="00DC0F41">
        <w:rPr>
          <w:rFonts w:ascii="Arial" w:hAnsi="Arial" w:cs="Arial"/>
          <w:lang w:val="en-GB"/>
        </w:rPr>
        <w:t xml:space="preserve">, </w:t>
      </w:r>
      <w:r w:rsidR="00751B8F">
        <w:rPr>
          <w:rFonts w:ascii="Arial" w:hAnsi="Arial" w:cs="Arial"/>
          <w:lang w:val="en-GB"/>
        </w:rPr>
        <w:t xml:space="preserve">having a </w:t>
      </w:r>
      <w:r w:rsidR="00DC0F41">
        <w:rPr>
          <w:rFonts w:ascii="Arial" w:hAnsi="Arial" w:cs="Arial"/>
          <w:lang w:val="en-GB"/>
        </w:rPr>
        <w:t>signed execution contract</w:t>
      </w:r>
      <w:r w:rsidRPr="003E0349">
        <w:rPr>
          <w:rFonts w:ascii="Arial" w:hAnsi="Arial" w:cs="Arial"/>
          <w:lang w:val="en-GB"/>
        </w:rPr>
        <w:t>, to be commissioned in 202</w:t>
      </w:r>
      <w:r w:rsidR="00DC0F41">
        <w:rPr>
          <w:rFonts w:ascii="Arial" w:hAnsi="Arial" w:cs="Arial"/>
          <w:lang w:val="en-GB"/>
        </w:rPr>
        <w:t>6</w:t>
      </w:r>
      <w:r w:rsidRPr="003E0349">
        <w:rPr>
          <w:rFonts w:ascii="Arial" w:hAnsi="Arial" w:cs="Arial"/>
          <w:lang w:val="en-GB"/>
        </w:rPr>
        <w:t>;</w:t>
      </w:r>
    </w:p>
    <w:p w14:paraId="6CA67100" w14:textId="40AA61A6" w:rsidR="00AC1230" w:rsidRPr="003E0349" w:rsidRDefault="00AC1230" w:rsidP="00370564">
      <w:pPr>
        <w:widowControl w:val="0"/>
        <w:spacing w:after="120"/>
        <w:ind w:left="777" w:firstLine="360"/>
        <w:jc w:val="both"/>
        <w:rPr>
          <w:rFonts w:ascii="Arial" w:hAnsi="Arial" w:cs="Arial"/>
          <w:lang w:val="en-GB"/>
        </w:rPr>
      </w:pPr>
      <w:r w:rsidRPr="003E0349">
        <w:rPr>
          <w:rFonts w:ascii="Arial" w:hAnsi="Arial" w:cs="Arial"/>
          <w:lang w:val="en-GB"/>
        </w:rPr>
        <w:t>- OHL 400 kV d.c. Timișoara – Săcălaz – Arad, including a new 400 kV Săcălaz substation and the extension of the 400 kV Arad substation</w:t>
      </w:r>
      <w:r w:rsidR="00DC0F41">
        <w:rPr>
          <w:rFonts w:ascii="Arial" w:hAnsi="Arial" w:cs="Arial"/>
          <w:lang w:val="en-GB"/>
        </w:rPr>
        <w:t xml:space="preserve">, </w:t>
      </w:r>
      <w:r w:rsidR="00667ADF">
        <w:rPr>
          <w:rFonts w:ascii="Arial" w:hAnsi="Arial" w:cs="Arial"/>
          <w:lang w:val="en-GB"/>
        </w:rPr>
        <w:t>project in</w:t>
      </w:r>
      <w:r w:rsidR="00DC0F41">
        <w:rPr>
          <w:rFonts w:ascii="Arial" w:hAnsi="Arial" w:cs="Arial"/>
          <w:lang w:val="en-GB"/>
        </w:rPr>
        <w:t xml:space="preserve"> preparation for</w:t>
      </w:r>
      <w:r w:rsidR="00DC0F41" w:rsidRPr="00DC0F41">
        <w:rPr>
          <w:rFonts w:ascii="Arial" w:hAnsi="Arial" w:cs="Arial"/>
          <w:lang w:val="en-GB"/>
        </w:rPr>
        <w:t xml:space="preserve"> the </w:t>
      </w:r>
      <w:r w:rsidR="00CA6652">
        <w:rPr>
          <w:rFonts w:ascii="Arial" w:hAnsi="Arial" w:cs="Arial"/>
          <w:lang w:val="en-GB"/>
        </w:rPr>
        <w:t>public procurement</w:t>
      </w:r>
      <w:r w:rsidRPr="003E0349">
        <w:rPr>
          <w:rFonts w:ascii="Arial" w:hAnsi="Arial" w:cs="Arial"/>
          <w:lang w:val="en-GB"/>
        </w:rPr>
        <w:t>, to be commissioned in 2027;</w:t>
      </w:r>
    </w:p>
    <w:p w14:paraId="145CF0BF" w14:textId="7C95BCD7" w:rsidR="00AC1230" w:rsidRPr="003E0349" w:rsidRDefault="00AC1230" w:rsidP="00370564">
      <w:pPr>
        <w:widowControl w:val="0"/>
        <w:spacing w:after="120"/>
        <w:ind w:left="777" w:firstLine="360"/>
        <w:jc w:val="both"/>
        <w:rPr>
          <w:rFonts w:ascii="Arial" w:hAnsi="Arial" w:cs="Arial"/>
          <w:lang w:val="en-GB"/>
        </w:rPr>
      </w:pPr>
      <w:r w:rsidRPr="003E0349">
        <w:rPr>
          <w:rFonts w:ascii="Arial" w:hAnsi="Arial" w:cs="Arial"/>
          <w:lang w:val="en-GB"/>
        </w:rPr>
        <w:t xml:space="preserve">- </w:t>
      </w:r>
      <w:r w:rsidR="00667ADF">
        <w:rPr>
          <w:rFonts w:ascii="Arial" w:hAnsi="Arial" w:cs="Arial"/>
          <w:lang w:val="en-GB"/>
        </w:rPr>
        <w:t>u</w:t>
      </w:r>
      <w:r w:rsidR="005B1D68" w:rsidRPr="003E0349">
        <w:rPr>
          <w:rFonts w:ascii="Arial" w:hAnsi="Arial" w:cs="Arial"/>
          <w:lang w:val="en-GB"/>
        </w:rPr>
        <w:t>pgrade</w:t>
      </w:r>
      <w:r w:rsidRPr="003E0349">
        <w:rPr>
          <w:rFonts w:ascii="Arial" w:hAnsi="Arial" w:cs="Arial"/>
          <w:lang w:val="en-GB"/>
        </w:rPr>
        <w:t xml:space="preserve"> at 400 kV of the </w:t>
      </w:r>
      <w:r w:rsidR="005B1D68" w:rsidRPr="003E0349">
        <w:rPr>
          <w:rFonts w:ascii="Arial" w:hAnsi="Arial" w:cs="Arial"/>
          <w:lang w:val="en-GB"/>
        </w:rPr>
        <w:t xml:space="preserve">220 kV </w:t>
      </w:r>
      <w:r w:rsidRPr="003E0349">
        <w:rPr>
          <w:rFonts w:ascii="Arial" w:hAnsi="Arial" w:cs="Arial"/>
          <w:lang w:val="en-GB"/>
        </w:rPr>
        <w:t>OHLs Brazi Vest – Teleajen – Stâlpu, to be commissioned in 202</w:t>
      </w:r>
      <w:r w:rsidR="00DC0F41">
        <w:rPr>
          <w:rFonts w:ascii="Arial" w:hAnsi="Arial" w:cs="Arial"/>
          <w:lang w:val="en-GB"/>
        </w:rPr>
        <w:t>7</w:t>
      </w:r>
      <w:r w:rsidRPr="003E0349">
        <w:rPr>
          <w:rFonts w:ascii="Arial" w:hAnsi="Arial" w:cs="Arial"/>
          <w:lang w:val="en-GB"/>
        </w:rPr>
        <w:t>;</w:t>
      </w:r>
    </w:p>
    <w:p w14:paraId="096AB1B8" w14:textId="43F0C742" w:rsidR="00AC1230" w:rsidRPr="003E0349" w:rsidRDefault="00AC1230" w:rsidP="00370564">
      <w:pPr>
        <w:widowControl w:val="0"/>
        <w:spacing w:after="120"/>
        <w:ind w:left="777" w:firstLine="360"/>
        <w:jc w:val="both"/>
        <w:rPr>
          <w:rFonts w:ascii="Arial" w:hAnsi="Arial" w:cs="Arial"/>
          <w:lang w:val="en-GB"/>
        </w:rPr>
      </w:pPr>
      <w:r w:rsidRPr="003E0349">
        <w:rPr>
          <w:rFonts w:ascii="Arial" w:hAnsi="Arial" w:cs="Arial"/>
          <w:lang w:val="en-GB"/>
        </w:rPr>
        <w:t>- OHL 400 kV d.c. (one equipped circuit) Smârdan – Gutinaş, to be commissioned in 202</w:t>
      </w:r>
      <w:r w:rsidR="00DC0F41">
        <w:rPr>
          <w:rFonts w:ascii="Arial" w:hAnsi="Arial" w:cs="Arial"/>
          <w:lang w:val="en-GB"/>
        </w:rPr>
        <w:t>7</w:t>
      </w:r>
      <w:r w:rsidRPr="003E0349">
        <w:rPr>
          <w:rFonts w:ascii="Arial" w:hAnsi="Arial" w:cs="Arial"/>
          <w:lang w:val="en-GB"/>
        </w:rPr>
        <w:t>.</w:t>
      </w:r>
    </w:p>
    <w:p w14:paraId="4AA3E5D6" w14:textId="07190646" w:rsidR="00DC0F41" w:rsidRDefault="005B1D68" w:rsidP="002010C2">
      <w:pPr>
        <w:widowControl w:val="0"/>
        <w:spacing w:after="120"/>
        <w:ind w:left="709" w:hanging="709"/>
        <w:jc w:val="both"/>
        <w:rPr>
          <w:rFonts w:ascii="Arial" w:hAnsi="Arial" w:cs="Arial"/>
          <w:lang w:val="en-GB"/>
        </w:rPr>
      </w:pPr>
      <w:r w:rsidRPr="003E0349">
        <w:rPr>
          <w:rFonts w:ascii="Arial" w:hAnsi="Arial" w:cs="Arial"/>
          <w:lang w:val="en-GB"/>
        </w:rPr>
        <w:tab/>
      </w:r>
      <w:r w:rsidR="00DC0F41">
        <w:rPr>
          <w:rFonts w:ascii="Arial" w:hAnsi="Arial" w:cs="Arial"/>
          <w:lang w:val="en-GB"/>
        </w:rPr>
        <w:t xml:space="preserve">In 2024, </w:t>
      </w:r>
      <w:r w:rsidR="00DC0F41" w:rsidRPr="00DC0F41">
        <w:rPr>
          <w:rFonts w:ascii="Arial" w:hAnsi="Arial" w:cs="Arial"/>
          <w:lang w:val="en-GB"/>
        </w:rPr>
        <w:t xml:space="preserve">the following investment projects with a role in increasing the capacity available for cross-border exchanges are </w:t>
      </w:r>
      <w:r w:rsidR="00CA6652">
        <w:rPr>
          <w:rFonts w:ascii="Arial" w:hAnsi="Arial" w:cs="Arial"/>
          <w:lang w:val="en-GB"/>
        </w:rPr>
        <w:t>finalised</w:t>
      </w:r>
      <w:r w:rsidR="00DC0F41">
        <w:rPr>
          <w:rFonts w:ascii="Arial" w:hAnsi="Arial" w:cs="Arial"/>
          <w:lang w:val="en-GB"/>
        </w:rPr>
        <w:t>:</w:t>
      </w:r>
    </w:p>
    <w:p w14:paraId="3EF50259" w14:textId="4F4CFDD0" w:rsidR="00DC0F41" w:rsidRDefault="00667ADF" w:rsidP="002010C2">
      <w:pPr>
        <w:pStyle w:val="ListParagraph"/>
        <w:widowControl w:val="0"/>
        <w:numPr>
          <w:ilvl w:val="0"/>
          <w:numId w:val="24"/>
        </w:numPr>
        <w:spacing w:after="120"/>
        <w:ind w:left="777" w:firstLine="357"/>
        <w:contextualSpacing w:val="0"/>
        <w:jc w:val="both"/>
        <w:rPr>
          <w:rFonts w:ascii="Arial" w:hAnsi="Arial" w:cs="Arial"/>
          <w:lang w:val="en-GB"/>
        </w:rPr>
      </w:pPr>
      <w:r>
        <w:rPr>
          <w:rFonts w:ascii="Arial" w:hAnsi="Arial" w:cs="Arial"/>
          <w:lang w:val="en-GB"/>
        </w:rPr>
        <w:t>c</w:t>
      </w:r>
      <w:r w:rsidR="00DC0F41">
        <w:rPr>
          <w:rFonts w:ascii="Arial" w:hAnsi="Arial" w:cs="Arial"/>
          <w:lang w:val="en-GB"/>
        </w:rPr>
        <w:t>omissioning of the 400 kV Reșița substation, OHL 400 kV Porțile de Fier – Reșița, OHL 400 kV Reșița – Pancevo circ. 2, AT3 – 400 MVA, 400/220 kV Reșița and</w:t>
      </w:r>
      <w:r w:rsidR="00CD0390">
        <w:rPr>
          <w:rFonts w:ascii="Arial" w:hAnsi="Arial" w:cs="Arial"/>
          <w:lang w:val="en-GB"/>
        </w:rPr>
        <w:t xml:space="preserve"> 400 kV </w:t>
      </w:r>
      <w:r w:rsidR="00CA6652">
        <w:rPr>
          <w:rFonts w:ascii="Arial" w:hAnsi="Arial" w:cs="Arial"/>
          <w:lang w:val="en-GB"/>
        </w:rPr>
        <w:t>s</w:t>
      </w:r>
      <w:r w:rsidR="000353A8">
        <w:rPr>
          <w:rFonts w:ascii="Arial" w:hAnsi="Arial" w:cs="Arial"/>
          <w:lang w:val="en-GB"/>
        </w:rPr>
        <w:t>hunt reactor</w:t>
      </w:r>
      <w:r w:rsidR="00CD0390">
        <w:rPr>
          <w:rFonts w:ascii="Arial" w:hAnsi="Arial" w:cs="Arial"/>
          <w:lang w:val="en-GB"/>
        </w:rPr>
        <w:t xml:space="preserve"> Reșița. OHL 400 kV Reșița – Pancevo circ. 1 will be commissioned in 2025;</w:t>
      </w:r>
    </w:p>
    <w:p w14:paraId="27A62FA6" w14:textId="5F6A1EB8" w:rsidR="00CD0390" w:rsidRDefault="00667ADF" w:rsidP="002010C2">
      <w:pPr>
        <w:pStyle w:val="ListParagraph"/>
        <w:widowControl w:val="0"/>
        <w:numPr>
          <w:ilvl w:val="0"/>
          <w:numId w:val="24"/>
        </w:numPr>
        <w:spacing w:after="120"/>
        <w:ind w:left="777" w:firstLine="357"/>
        <w:contextualSpacing w:val="0"/>
        <w:jc w:val="both"/>
        <w:rPr>
          <w:rFonts w:ascii="Arial" w:hAnsi="Arial" w:cs="Arial"/>
          <w:lang w:val="en-GB"/>
        </w:rPr>
      </w:pPr>
      <w:r>
        <w:rPr>
          <w:rFonts w:ascii="Arial" w:hAnsi="Arial" w:cs="Arial"/>
          <w:lang w:val="en-GB"/>
        </w:rPr>
        <w:t>c</w:t>
      </w:r>
      <w:r w:rsidR="00CD0390">
        <w:rPr>
          <w:rFonts w:ascii="Arial" w:hAnsi="Arial" w:cs="Arial"/>
          <w:lang w:val="en-GB"/>
        </w:rPr>
        <w:t>onnection of OHL 400 kV Stupina – Varna and OHL 400 kV Rahman – Dobrudja in the 400 kV Medgidia Sud substation;</w:t>
      </w:r>
    </w:p>
    <w:p w14:paraId="360CB068" w14:textId="40D2446D" w:rsidR="00CD0390" w:rsidRPr="002010C2" w:rsidRDefault="00CD0390" w:rsidP="002010C2">
      <w:pPr>
        <w:pStyle w:val="ListParagraph"/>
        <w:widowControl w:val="0"/>
        <w:numPr>
          <w:ilvl w:val="0"/>
          <w:numId w:val="24"/>
        </w:numPr>
        <w:spacing w:after="120"/>
        <w:ind w:left="777" w:firstLine="357"/>
        <w:contextualSpacing w:val="0"/>
        <w:jc w:val="both"/>
        <w:rPr>
          <w:rFonts w:ascii="Arial" w:hAnsi="Arial" w:cs="Arial"/>
          <w:lang w:val="en-GB"/>
        </w:rPr>
      </w:pPr>
      <w:r w:rsidRPr="003E0349">
        <w:rPr>
          <w:rFonts w:ascii="Arial" w:hAnsi="Arial" w:cs="Arial"/>
          <w:lang w:val="en-GB"/>
        </w:rPr>
        <w:t>OHL 400 kV d.c. Cernavodă – Stâlpu, with one circuit connected in Gura Ialomiţei substation</w:t>
      </w:r>
      <w:r>
        <w:rPr>
          <w:rFonts w:ascii="Arial" w:hAnsi="Arial" w:cs="Arial"/>
          <w:lang w:val="en-GB"/>
        </w:rPr>
        <w:t xml:space="preserve">, but </w:t>
      </w:r>
      <w:r w:rsidRPr="003E0349">
        <w:rPr>
          <w:rFonts w:ascii="Arial" w:hAnsi="Arial" w:cs="Arial"/>
          <w:lang w:val="en-GB"/>
        </w:rPr>
        <w:t>cannot contribute to the increase of the cross-border capacity until the upgrade at 400 kV of the 220 kV OHLs Brazi Vest – Teleajen – Stâlpu.</w:t>
      </w:r>
    </w:p>
    <w:p w14:paraId="567F5718" w14:textId="0C65CA14" w:rsidR="00CD0390" w:rsidRPr="003E0349" w:rsidRDefault="00CD0390" w:rsidP="002010C2">
      <w:pPr>
        <w:widowControl w:val="0"/>
        <w:spacing w:after="120"/>
        <w:jc w:val="both"/>
        <w:rPr>
          <w:rFonts w:ascii="Arial" w:hAnsi="Arial" w:cs="Arial"/>
          <w:lang w:val="en-GB"/>
        </w:rPr>
      </w:pPr>
      <w:r>
        <w:rPr>
          <w:rFonts w:ascii="Arial" w:hAnsi="Arial" w:cs="Arial"/>
          <w:lang w:val="en-GB"/>
        </w:rPr>
        <w:t xml:space="preserve">(4) </w:t>
      </w:r>
      <w:r w:rsidRPr="00CD0390">
        <w:rPr>
          <w:rFonts w:ascii="Arial" w:hAnsi="Arial" w:cs="Arial"/>
          <w:lang w:val="en-GB"/>
        </w:rPr>
        <w:t>Given the comp</w:t>
      </w:r>
      <w:r>
        <w:rPr>
          <w:rFonts w:ascii="Arial" w:hAnsi="Arial" w:cs="Arial"/>
          <w:lang w:val="en-GB"/>
        </w:rPr>
        <w:t xml:space="preserve">letion of these projects, </w:t>
      </w:r>
      <w:r w:rsidRPr="00CD0390">
        <w:rPr>
          <w:rFonts w:ascii="Arial" w:hAnsi="Arial" w:cs="Arial"/>
          <w:lang w:val="en-GB"/>
        </w:rPr>
        <w:t>Transelectrica</w:t>
      </w:r>
      <w:r>
        <w:rPr>
          <w:rFonts w:ascii="Arial" w:hAnsi="Arial" w:cs="Arial"/>
          <w:lang w:val="en-GB"/>
        </w:rPr>
        <w:t xml:space="preserve"> SA has analys</w:t>
      </w:r>
      <w:r w:rsidRPr="00CD0390">
        <w:rPr>
          <w:rFonts w:ascii="Arial" w:hAnsi="Arial" w:cs="Arial"/>
          <w:lang w:val="en-GB"/>
        </w:rPr>
        <w:t xml:space="preserve">ed the possibility of increasing the minimum capacity available for cross-border exchanges, both for the Romania </w:t>
      </w:r>
      <w:r>
        <w:rPr>
          <w:rFonts w:ascii="Arial" w:hAnsi="Arial" w:cs="Arial"/>
          <w:lang w:val="en-GB"/>
        </w:rPr>
        <w:t>–</w:t>
      </w:r>
      <w:r w:rsidRPr="00CD0390">
        <w:rPr>
          <w:rFonts w:ascii="Arial" w:hAnsi="Arial" w:cs="Arial"/>
          <w:lang w:val="en-GB"/>
        </w:rPr>
        <w:t xml:space="preserve"> Bulgaria border and for the Romania </w:t>
      </w:r>
      <w:r>
        <w:rPr>
          <w:rFonts w:ascii="Arial" w:hAnsi="Arial" w:cs="Arial"/>
          <w:lang w:val="en-GB"/>
        </w:rPr>
        <w:t>–</w:t>
      </w:r>
      <w:r w:rsidRPr="00CD0390">
        <w:rPr>
          <w:rFonts w:ascii="Arial" w:hAnsi="Arial" w:cs="Arial"/>
          <w:lang w:val="en-GB"/>
        </w:rPr>
        <w:t xml:space="preserve"> Hungary border, with reference to 2024.</w:t>
      </w:r>
    </w:p>
    <w:p w14:paraId="2E387FDD" w14:textId="359EFC3A" w:rsidR="004413D4" w:rsidRDefault="00992E39" w:rsidP="002B0DDE">
      <w:pPr>
        <w:widowControl w:val="0"/>
        <w:spacing w:after="60"/>
        <w:jc w:val="both"/>
        <w:rPr>
          <w:rFonts w:ascii="Arial" w:hAnsi="Arial" w:cs="Arial"/>
          <w:lang w:val="en-GB"/>
        </w:rPr>
      </w:pPr>
      <w:r w:rsidRPr="003E0349">
        <w:rPr>
          <w:rFonts w:ascii="Arial" w:hAnsi="Arial" w:cs="Arial"/>
          <w:lang w:val="en-GB"/>
        </w:rPr>
        <w:t xml:space="preserve">(3) </w:t>
      </w:r>
      <w:r w:rsidR="004413D4" w:rsidRPr="003E0349">
        <w:rPr>
          <w:rFonts w:ascii="Arial" w:hAnsi="Arial" w:cs="Arial"/>
          <w:lang w:val="en-GB"/>
        </w:rPr>
        <w:t>As</w:t>
      </w:r>
      <w:r w:rsidR="00A45ED2" w:rsidRPr="003E0349">
        <w:rPr>
          <w:rFonts w:ascii="Arial" w:hAnsi="Arial" w:cs="Arial"/>
          <w:lang w:val="en-GB"/>
        </w:rPr>
        <w:t xml:space="preserve"> it</w:t>
      </w:r>
      <w:r w:rsidR="004413D4" w:rsidRPr="003E0349">
        <w:rPr>
          <w:rFonts w:ascii="Arial" w:hAnsi="Arial" w:cs="Arial"/>
          <w:lang w:val="en-GB"/>
        </w:rPr>
        <w:t xml:space="preserve"> has been</w:t>
      </w:r>
      <w:r w:rsidR="00A45ED2" w:rsidRPr="003E0349">
        <w:rPr>
          <w:rFonts w:ascii="Arial" w:hAnsi="Arial" w:cs="Arial"/>
          <w:lang w:val="en-GB"/>
        </w:rPr>
        <w:t xml:space="preserve"> previously</w:t>
      </w:r>
      <w:r w:rsidR="004413D4" w:rsidRPr="003E0349">
        <w:rPr>
          <w:rFonts w:ascii="Arial" w:hAnsi="Arial" w:cs="Arial"/>
          <w:lang w:val="en-GB"/>
        </w:rPr>
        <w:t xml:space="preserve"> </w:t>
      </w:r>
      <w:r w:rsidR="00A45ED2" w:rsidRPr="003E0349">
        <w:rPr>
          <w:rFonts w:ascii="Arial" w:hAnsi="Arial" w:cs="Arial"/>
          <w:lang w:val="en-GB"/>
        </w:rPr>
        <w:t>detailed</w:t>
      </w:r>
      <w:r w:rsidR="004413D4" w:rsidRPr="003E0349">
        <w:rPr>
          <w:rFonts w:ascii="Arial" w:hAnsi="Arial" w:cs="Arial"/>
          <w:lang w:val="en-GB"/>
        </w:rPr>
        <w:t>, all these arguments related to the request for derogation pursuant to Article 16(9) of the Regulation (EU) 2019/943 are foreseeable and directly impact the operational processes and maintenance of the operational security</w:t>
      </w:r>
      <w:r w:rsidR="00D503B0" w:rsidRPr="003E0349">
        <w:rPr>
          <w:rFonts w:ascii="Arial" w:hAnsi="Arial" w:cs="Arial"/>
          <w:lang w:val="en-GB"/>
        </w:rPr>
        <w:t xml:space="preserve"> and </w:t>
      </w:r>
      <w:r w:rsidR="00D503B0" w:rsidRPr="003E0349">
        <w:rPr>
          <w:rFonts w:ascii="Arial" w:hAnsi="Arial" w:cs="Arial"/>
          <w:lang w:val="en-GB"/>
        </w:rPr>
        <w:lastRenderedPageBreak/>
        <w:t xml:space="preserve">justify the necessity of the derogation from the </w:t>
      </w:r>
      <w:r w:rsidR="008A481A" w:rsidRPr="003E0349">
        <w:rPr>
          <w:rFonts w:ascii="Arial" w:eastAsia="Calibri" w:hAnsi="Arial" w:cs="Arial"/>
          <w:lang w:val="en-GB" w:eastAsia="de-DE" w:bidi="ar-SA"/>
        </w:rPr>
        <w:t xml:space="preserve">target capacity foreseen in the </w:t>
      </w:r>
      <w:r w:rsidR="0091112A" w:rsidRPr="003E0349">
        <w:rPr>
          <w:rFonts w:ascii="Arial" w:eastAsia="Calibri" w:hAnsi="Arial" w:cs="Arial"/>
          <w:lang w:val="en-GB" w:eastAsia="de-DE" w:bidi="ar-SA"/>
        </w:rPr>
        <w:t xml:space="preserve">National </w:t>
      </w:r>
      <w:r w:rsidR="00A45ED2" w:rsidRPr="003E0349">
        <w:rPr>
          <w:rFonts w:ascii="Arial" w:eastAsia="Calibri" w:hAnsi="Arial" w:cs="Arial"/>
          <w:lang w:val="en-GB" w:eastAsia="de-DE" w:bidi="ar-SA"/>
        </w:rPr>
        <w:t>A</w:t>
      </w:r>
      <w:r w:rsidR="008A481A" w:rsidRPr="003E0349">
        <w:rPr>
          <w:rFonts w:ascii="Arial" w:eastAsia="Calibri" w:hAnsi="Arial" w:cs="Arial"/>
          <w:lang w:val="en-GB" w:eastAsia="de-DE" w:bidi="ar-SA"/>
        </w:rPr>
        <w:t xml:space="preserve">ction </w:t>
      </w:r>
      <w:r w:rsidR="00A45ED2" w:rsidRPr="003E0349">
        <w:rPr>
          <w:rFonts w:ascii="Arial" w:eastAsia="Calibri" w:hAnsi="Arial" w:cs="Arial"/>
          <w:lang w:val="en-GB" w:eastAsia="de-DE" w:bidi="ar-SA"/>
        </w:rPr>
        <w:t>P</w:t>
      </w:r>
      <w:r w:rsidR="008A481A" w:rsidRPr="003E0349">
        <w:rPr>
          <w:rFonts w:ascii="Arial" w:eastAsia="Calibri" w:hAnsi="Arial" w:cs="Arial"/>
          <w:lang w:val="en-GB" w:eastAsia="de-DE" w:bidi="ar-SA"/>
        </w:rPr>
        <w:t>lan</w:t>
      </w:r>
      <w:r w:rsidR="004413D4" w:rsidRPr="003E0349">
        <w:rPr>
          <w:rFonts w:ascii="Arial" w:hAnsi="Arial" w:cs="Arial"/>
          <w:lang w:val="en-GB"/>
        </w:rPr>
        <w:t xml:space="preserve">. </w:t>
      </w:r>
    </w:p>
    <w:p w14:paraId="1F35DFA7" w14:textId="77777777" w:rsidR="00667ADF" w:rsidRDefault="00667ADF" w:rsidP="002B0DDE">
      <w:pPr>
        <w:widowControl w:val="0"/>
        <w:spacing w:after="60"/>
        <w:jc w:val="both"/>
        <w:rPr>
          <w:rFonts w:ascii="Arial" w:hAnsi="Arial" w:cs="Arial"/>
          <w:lang w:val="en-GB"/>
        </w:rPr>
      </w:pPr>
    </w:p>
    <w:p w14:paraId="3999E2E1" w14:textId="77777777" w:rsidR="00667ADF" w:rsidRPr="003E0349" w:rsidRDefault="00667ADF" w:rsidP="002B0DDE">
      <w:pPr>
        <w:widowControl w:val="0"/>
        <w:spacing w:after="60"/>
        <w:jc w:val="both"/>
        <w:rPr>
          <w:rFonts w:ascii="Arial" w:hAnsi="Arial" w:cs="Arial"/>
          <w:lang w:val="en-GB"/>
        </w:rPr>
      </w:pPr>
    </w:p>
    <w:p w14:paraId="270F9EE6" w14:textId="00797EA6" w:rsidR="008A481A" w:rsidRPr="003E0349" w:rsidRDefault="008A481A" w:rsidP="002B0DDE">
      <w:pPr>
        <w:widowControl w:val="0"/>
        <w:spacing w:before="240" w:after="240"/>
        <w:ind w:firstLine="720"/>
        <w:jc w:val="both"/>
        <w:rPr>
          <w:rFonts w:ascii="Arial" w:hAnsi="Arial" w:cs="Arial"/>
          <w:b/>
          <w:lang w:val="en-GB"/>
        </w:rPr>
      </w:pPr>
      <w:r w:rsidRPr="003E0349">
        <w:rPr>
          <w:rFonts w:ascii="Arial" w:hAnsi="Arial" w:cs="Arial"/>
          <w:b/>
          <w:lang w:val="en-GB"/>
        </w:rPr>
        <w:t xml:space="preserve">Article </w:t>
      </w:r>
      <w:r w:rsidR="00C42595" w:rsidRPr="003E0349">
        <w:rPr>
          <w:rFonts w:ascii="Arial" w:hAnsi="Arial" w:cs="Arial"/>
          <w:b/>
          <w:lang w:val="en-GB"/>
        </w:rPr>
        <w:t>4</w:t>
      </w:r>
      <w:r w:rsidRPr="003E0349">
        <w:rPr>
          <w:rFonts w:ascii="Arial" w:hAnsi="Arial" w:cs="Arial"/>
          <w:b/>
          <w:lang w:val="en-GB"/>
        </w:rPr>
        <w:t>. Duration of the Derogation</w:t>
      </w:r>
    </w:p>
    <w:p w14:paraId="480038A8" w14:textId="51B34CA0" w:rsidR="004413D4" w:rsidRPr="003E0349" w:rsidRDefault="008A481A" w:rsidP="002B0DDE">
      <w:pPr>
        <w:widowControl w:val="0"/>
        <w:spacing w:after="120"/>
        <w:jc w:val="both"/>
        <w:rPr>
          <w:rFonts w:ascii="Arial" w:hAnsi="Arial" w:cs="Arial"/>
          <w:lang w:val="en-GB"/>
        </w:rPr>
      </w:pPr>
      <w:r w:rsidRPr="003E0349">
        <w:rPr>
          <w:rFonts w:ascii="Arial" w:hAnsi="Arial" w:cs="Arial"/>
          <w:lang w:val="en-GB"/>
        </w:rPr>
        <w:t xml:space="preserve">(1) </w:t>
      </w:r>
      <w:r w:rsidR="004413D4" w:rsidRPr="003E0349">
        <w:rPr>
          <w:rFonts w:ascii="Arial" w:hAnsi="Arial" w:cs="Arial"/>
          <w:lang w:val="en-GB"/>
        </w:rPr>
        <w:t xml:space="preserve">In order to be able to </w:t>
      </w:r>
      <w:r w:rsidR="00CD0390" w:rsidRPr="003E0349">
        <w:rPr>
          <w:rFonts w:ascii="Arial" w:hAnsi="Arial" w:cs="Arial"/>
          <w:lang w:val="en-GB"/>
        </w:rPr>
        <w:t>fulfil</w:t>
      </w:r>
      <w:r w:rsidR="004413D4" w:rsidRPr="003E0349">
        <w:rPr>
          <w:rFonts w:ascii="Arial" w:hAnsi="Arial" w:cs="Arial"/>
          <w:lang w:val="en-GB"/>
        </w:rPr>
        <w:t xml:space="preserve"> the capacity requirements of Article 16(8)</w:t>
      </w:r>
      <w:r w:rsidR="006D5664" w:rsidRPr="003E0349">
        <w:rPr>
          <w:rFonts w:ascii="Arial" w:hAnsi="Arial" w:cs="Arial"/>
          <w:lang w:val="en-GB"/>
        </w:rPr>
        <w:t xml:space="preserve"> of the Regulation (EU) 2019/943 and the national Action Plan, Transelectrica SA has under implementation investment projects for transmission network development. In parallel, experts of </w:t>
      </w:r>
      <w:r w:rsidR="00667ADF">
        <w:rPr>
          <w:rFonts w:ascii="Arial" w:hAnsi="Arial" w:cs="Arial"/>
          <w:lang w:val="en-GB"/>
        </w:rPr>
        <w:t xml:space="preserve">CNTEE </w:t>
      </w:r>
      <w:r w:rsidR="006D5664" w:rsidRPr="003E0349">
        <w:rPr>
          <w:rFonts w:ascii="Arial" w:hAnsi="Arial" w:cs="Arial"/>
          <w:lang w:val="en-GB"/>
        </w:rPr>
        <w:t xml:space="preserve">Transelectrica SA </w:t>
      </w:r>
      <w:r w:rsidR="00807E8D" w:rsidRPr="003E0349">
        <w:rPr>
          <w:rFonts w:ascii="Arial" w:hAnsi="Arial" w:cs="Arial"/>
          <w:lang w:val="en-GB"/>
        </w:rPr>
        <w:t xml:space="preserve">are </w:t>
      </w:r>
      <w:r w:rsidR="006D5664" w:rsidRPr="003E0349">
        <w:rPr>
          <w:rFonts w:ascii="Arial" w:hAnsi="Arial" w:cs="Arial"/>
          <w:lang w:val="en-GB"/>
        </w:rPr>
        <w:t>actively working with Core</w:t>
      </w:r>
      <w:r w:rsidR="0091112A" w:rsidRPr="003E0349">
        <w:rPr>
          <w:rFonts w:ascii="Arial" w:hAnsi="Arial" w:cs="Arial"/>
          <w:lang w:val="en-GB"/>
        </w:rPr>
        <w:t xml:space="preserve"> and SEE</w:t>
      </w:r>
      <w:r w:rsidR="006D5664" w:rsidRPr="003E0349">
        <w:rPr>
          <w:rFonts w:ascii="Arial" w:hAnsi="Arial" w:cs="Arial"/>
          <w:lang w:val="en-GB"/>
        </w:rPr>
        <w:t xml:space="preserve"> TSOs to implement the relevant methodologies in line with Regulation (EU) 2019/943.</w:t>
      </w:r>
    </w:p>
    <w:p w14:paraId="3CA42BA3" w14:textId="220A01AA" w:rsidR="0091112A" w:rsidRPr="003E0349" w:rsidRDefault="00DC7A28" w:rsidP="002B0DDE">
      <w:pPr>
        <w:widowControl w:val="0"/>
        <w:spacing w:after="120"/>
        <w:jc w:val="both"/>
        <w:rPr>
          <w:rFonts w:ascii="Arial" w:hAnsi="Arial" w:cs="Arial"/>
          <w:lang w:val="en-GB"/>
        </w:rPr>
      </w:pPr>
      <w:r w:rsidRPr="003E0349">
        <w:rPr>
          <w:rFonts w:ascii="Arial" w:hAnsi="Arial" w:cs="Arial"/>
          <w:lang w:val="en-GB"/>
        </w:rPr>
        <w:t>(</w:t>
      </w:r>
      <w:r w:rsidR="000D22D8" w:rsidRPr="003E0349">
        <w:rPr>
          <w:rFonts w:ascii="Arial" w:hAnsi="Arial" w:cs="Arial"/>
          <w:lang w:val="en-GB"/>
        </w:rPr>
        <w:t>2</w:t>
      </w:r>
      <w:r w:rsidRPr="003E0349">
        <w:rPr>
          <w:rFonts w:ascii="Arial" w:hAnsi="Arial" w:cs="Arial"/>
          <w:lang w:val="en-GB"/>
        </w:rPr>
        <w:t xml:space="preserve">) </w:t>
      </w:r>
      <w:r w:rsidR="00A036D8" w:rsidRPr="003E0349">
        <w:rPr>
          <w:rFonts w:ascii="Arial" w:hAnsi="Arial" w:cs="Arial"/>
          <w:lang w:val="en-GB"/>
        </w:rPr>
        <w:t xml:space="preserve">Taking into consideration the foreseeable grounds highlighted </w:t>
      </w:r>
      <w:r w:rsidRPr="003E0349">
        <w:rPr>
          <w:rFonts w:ascii="Arial" w:hAnsi="Arial" w:cs="Arial"/>
          <w:lang w:val="en-GB"/>
        </w:rPr>
        <w:t xml:space="preserve">in article </w:t>
      </w:r>
      <w:r w:rsidR="008A2660">
        <w:rPr>
          <w:rFonts w:ascii="Arial" w:hAnsi="Arial" w:cs="Arial"/>
          <w:lang w:val="en-GB"/>
        </w:rPr>
        <w:t>3</w:t>
      </w:r>
      <w:bookmarkStart w:id="0" w:name="_GoBack"/>
      <w:bookmarkEnd w:id="0"/>
      <w:r w:rsidR="00A036D8" w:rsidRPr="003E0349">
        <w:rPr>
          <w:rFonts w:ascii="Arial" w:hAnsi="Arial" w:cs="Arial"/>
          <w:lang w:val="en-GB"/>
        </w:rPr>
        <w:t xml:space="preserve">, it is not possible for </w:t>
      </w:r>
      <w:r w:rsidR="00667ADF">
        <w:rPr>
          <w:rFonts w:ascii="Arial" w:hAnsi="Arial" w:cs="Arial"/>
          <w:lang w:val="en-GB"/>
        </w:rPr>
        <w:t xml:space="preserve">CNTEE </w:t>
      </w:r>
      <w:r w:rsidR="00A036D8" w:rsidRPr="003E0349">
        <w:rPr>
          <w:rFonts w:ascii="Arial" w:hAnsi="Arial" w:cs="Arial"/>
          <w:lang w:val="en-GB"/>
        </w:rPr>
        <w:t xml:space="preserve">Transelectrica SA to </w:t>
      </w:r>
      <w:r w:rsidR="00CD0390" w:rsidRPr="003E0349">
        <w:rPr>
          <w:rFonts w:ascii="Arial" w:hAnsi="Arial" w:cs="Arial"/>
          <w:lang w:val="en-GB"/>
        </w:rPr>
        <w:t>fulfil</w:t>
      </w:r>
      <w:r w:rsidR="00A036D8" w:rsidRPr="003E0349">
        <w:rPr>
          <w:rFonts w:ascii="Arial" w:hAnsi="Arial" w:cs="Arial"/>
          <w:lang w:val="en-GB"/>
        </w:rPr>
        <w:t xml:space="preserve"> the relevant target capacity </w:t>
      </w:r>
      <w:r w:rsidR="00667ADF">
        <w:rPr>
          <w:rFonts w:ascii="Arial" w:hAnsi="Arial" w:cs="Arial"/>
          <w:lang w:val="en-GB"/>
        </w:rPr>
        <w:t>as of the</w:t>
      </w:r>
      <w:r w:rsidR="00A036D8" w:rsidRPr="003E0349">
        <w:rPr>
          <w:rFonts w:ascii="Arial" w:hAnsi="Arial" w:cs="Arial"/>
          <w:lang w:val="en-GB"/>
        </w:rPr>
        <w:t xml:space="preserve"> 1</w:t>
      </w:r>
      <w:r w:rsidR="00A036D8" w:rsidRPr="003E0349">
        <w:rPr>
          <w:rFonts w:ascii="Arial" w:hAnsi="Arial" w:cs="Arial"/>
          <w:vertAlign w:val="superscript"/>
          <w:lang w:val="en-GB"/>
        </w:rPr>
        <w:t>st</w:t>
      </w:r>
      <w:r w:rsidR="00A036D8" w:rsidRPr="003E0349">
        <w:rPr>
          <w:rFonts w:ascii="Arial" w:hAnsi="Arial" w:cs="Arial"/>
          <w:lang w:val="en-GB"/>
        </w:rPr>
        <w:t xml:space="preserve"> </w:t>
      </w:r>
      <w:r w:rsidR="00A45ED2" w:rsidRPr="003E0349">
        <w:rPr>
          <w:rFonts w:ascii="Arial" w:hAnsi="Arial" w:cs="Arial"/>
          <w:lang w:val="en-GB"/>
        </w:rPr>
        <w:t xml:space="preserve">of </w:t>
      </w:r>
      <w:r w:rsidR="00A036D8" w:rsidRPr="003E0349">
        <w:rPr>
          <w:rFonts w:ascii="Arial" w:hAnsi="Arial" w:cs="Arial"/>
          <w:lang w:val="en-GB"/>
        </w:rPr>
        <w:t xml:space="preserve">January </w:t>
      </w:r>
      <w:r w:rsidR="0091112A" w:rsidRPr="003E0349">
        <w:rPr>
          <w:rFonts w:ascii="Arial" w:hAnsi="Arial" w:cs="Arial"/>
          <w:lang w:val="en-GB"/>
        </w:rPr>
        <w:t>202</w:t>
      </w:r>
      <w:r w:rsidR="00CD0390">
        <w:rPr>
          <w:rFonts w:ascii="Arial" w:hAnsi="Arial" w:cs="Arial"/>
          <w:lang w:val="en-GB"/>
        </w:rPr>
        <w:t>5</w:t>
      </w:r>
      <w:r w:rsidR="00A036D8" w:rsidRPr="003E0349">
        <w:rPr>
          <w:rFonts w:ascii="Arial" w:hAnsi="Arial" w:cs="Arial"/>
          <w:lang w:val="en-GB"/>
        </w:rPr>
        <w:t xml:space="preserve">, </w:t>
      </w:r>
      <w:r w:rsidR="00636708" w:rsidRPr="003E0349">
        <w:rPr>
          <w:rFonts w:ascii="Arial" w:hAnsi="Arial" w:cs="Arial"/>
          <w:lang w:val="en-GB"/>
        </w:rPr>
        <w:t xml:space="preserve">of </w:t>
      </w:r>
      <w:r w:rsidR="00CD0390">
        <w:rPr>
          <w:rFonts w:ascii="Arial" w:hAnsi="Arial" w:cs="Arial"/>
          <w:lang w:val="en-GB"/>
        </w:rPr>
        <w:t>1520</w:t>
      </w:r>
      <w:r w:rsidR="0091112A" w:rsidRPr="003E0349">
        <w:rPr>
          <w:rFonts w:ascii="Arial" w:hAnsi="Arial" w:cs="Arial"/>
          <w:lang w:val="en-GB"/>
        </w:rPr>
        <w:t xml:space="preserve"> </w:t>
      </w:r>
      <w:r w:rsidR="00636708" w:rsidRPr="003E0349">
        <w:rPr>
          <w:rFonts w:ascii="Arial" w:hAnsi="Arial" w:cs="Arial"/>
          <w:lang w:val="en-GB"/>
        </w:rPr>
        <w:t>MW on Romania – Hungary border</w:t>
      </w:r>
      <w:r w:rsidR="0091112A" w:rsidRPr="003E0349">
        <w:rPr>
          <w:rFonts w:ascii="Arial" w:hAnsi="Arial" w:cs="Arial"/>
          <w:lang w:val="en-GB"/>
        </w:rPr>
        <w:t xml:space="preserve">, representing </w:t>
      </w:r>
      <w:r w:rsidR="00CD0390">
        <w:rPr>
          <w:rFonts w:ascii="Arial" w:hAnsi="Arial" w:cs="Arial"/>
          <w:lang w:val="en-GB"/>
        </w:rPr>
        <w:t>63</w:t>
      </w:r>
      <w:r w:rsidR="0091112A" w:rsidRPr="003E0349">
        <w:rPr>
          <w:rFonts w:ascii="Arial" w:hAnsi="Arial" w:cs="Arial"/>
          <w:lang w:val="en-GB"/>
        </w:rPr>
        <w:t xml:space="preserve">% of the transmission capacity, and of </w:t>
      </w:r>
      <w:r w:rsidR="00CD0390">
        <w:rPr>
          <w:rFonts w:ascii="Arial" w:hAnsi="Arial" w:cs="Arial"/>
          <w:lang w:val="en-GB"/>
        </w:rPr>
        <w:t>2220</w:t>
      </w:r>
      <w:r w:rsidR="0091112A" w:rsidRPr="003E0349">
        <w:rPr>
          <w:rFonts w:ascii="Arial" w:hAnsi="Arial" w:cs="Arial"/>
          <w:lang w:val="en-GB"/>
        </w:rPr>
        <w:t xml:space="preserve"> MW on Romania – Bulgaria border</w:t>
      </w:r>
      <w:r w:rsidR="00636708" w:rsidRPr="003E0349">
        <w:rPr>
          <w:rFonts w:ascii="Arial" w:hAnsi="Arial" w:cs="Arial"/>
          <w:lang w:val="en-GB"/>
        </w:rPr>
        <w:t xml:space="preserve">, representing </w:t>
      </w:r>
      <w:r w:rsidR="00CD0390">
        <w:rPr>
          <w:rFonts w:ascii="Arial" w:hAnsi="Arial" w:cs="Arial"/>
          <w:lang w:val="en-GB"/>
        </w:rPr>
        <w:t>61</w:t>
      </w:r>
      <w:r w:rsidR="00636708" w:rsidRPr="003E0349">
        <w:rPr>
          <w:rFonts w:ascii="Arial" w:hAnsi="Arial" w:cs="Arial"/>
          <w:lang w:val="en-GB"/>
        </w:rPr>
        <w:t xml:space="preserve">% </w:t>
      </w:r>
      <w:r w:rsidR="00A45ED2" w:rsidRPr="003E0349">
        <w:rPr>
          <w:rFonts w:ascii="Arial" w:hAnsi="Arial" w:cs="Arial"/>
          <w:lang w:val="en-GB"/>
        </w:rPr>
        <w:t xml:space="preserve">of </w:t>
      </w:r>
      <w:r w:rsidR="00636708" w:rsidRPr="003E0349">
        <w:rPr>
          <w:rFonts w:ascii="Arial" w:hAnsi="Arial" w:cs="Arial"/>
          <w:lang w:val="en-GB"/>
        </w:rPr>
        <w:t>the transmission capacity</w:t>
      </w:r>
      <w:r w:rsidR="0091112A" w:rsidRPr="003E0349">
        <w:rPr>
          <w:rFonts w:ascii="Arial" w:hAnsi="Arial" w:cs="Arial"/>
          <w:lang w:val="en-GB"/>
        </w:rPr>
        <w:t>,</w:t>
      </w:r>
      <w:r w:rsidR="00636708" w:rsidRPr="003E0349">
        <w:rPr>
          <w:rFonts w:ascii="Arial" w:hAnsi="Arial" w:cs="Arial"/>
          <w:lang w:val="en-GB"/>
        </w:rPr>
        <w:t xml:space="preserve"> </w:t>
      </w:r>
      <w:r w:rsidR="00A036D8" w:rsidRPr="003E0349">
        <w:rPr>
          <w:rFonts w:ascii="Arial" w:hAnsi="Arial" w:cs="Arial"/>
          <w:lang w:val="en-GB"/>
        </w:rPr>
        <w:t>without endangering operational security.</w:t>
      </w:r>
      <w:r w:rsidR="00ED096E" w:rsidRPr="003E0349">
        <w:rPr>
          <w:rFonts w:ascii="Arial" w:hAnsi="Arial" w:cs="Arial"/>
          <w:lang w:val="en-GB"/>
        </w:rPr>
        <w:t xml:space="preserve"> </w:t>
      </w:r>
      <w:r w:rsidR="00667ADF">
        <w:rPr>
          <w:rFonts w:ascii="Arial" w:hAnsi="Arial" w:cs="Arial"/>
          <w:lang w:val="en-GB"/>
        </w:rPr>
        <w:t xml:space="preserve">CNTEE </w:t>
      </w:r>
      <w:r w:rsidR="00ED096E" w:rsidRPr="003E0349">
        <w:rPr>
          <w:rFonts w:ascii="Arial" w:hAnsi="Arial" w:cs="Arial"/>
          <w:lang w:val="en-GB"/>
        </w:rPr>
        <w:t xml:space="preserve">Transelectrica SA will make all the efforts to </w:t>
      </w:r>
      <w:r w:rsidR="0041318E" w:rsidRPr="003E0349">
        <w:rPr>
          <w:rFonts w:ascii="Arial" w:hAnsi="Arial" w:cs="Arial"/>
          <w:lang w:val="en-GB"/>
        </w:rPr>
        <w:t xml:space="preserve">maintain the </w:t>
      </w:r>
      <w:r w:rsidR="00ED096E" w:rsidRPr="003E0349">
        <w:rPr>
          <w:rFonts w:ascii="Arial" w:hAnsi="Arial" w:cs="Arial"/>
          <w:lang w:val="en-GB"/>
        </w:rPr>
        <w:t>minimum capacity available for cross-border trade at</w:t>
      </w:r>
      <w:r w:rsidR="0091112A" w:rsidRPr="003E0349">
        <w:rPr>
          <w:rFonts w:ascii="Arial" w:hAnsi="Arial" w:cs="Arial"/>
          <w:lang w:val="en-GB"/>
        </w:rPr>
        <w:t>:</w:t>
      </w:r>
      <w:r w:rsidR="00ED096E" w:rsidRPr="003E0349">
        <w:rPr>
          <w:rFonts w:ascii="Arial" w:hAnsi="Arial" w:cs="Arial"/>
          <w:lang w:val="en-GB"/>
        </w:rPr>
        <w:t xml:space="preserve"> </w:t>
      </w:r>
    </w:p>
    <w:p w14:paraId="7416F4FB" w14:textId="0B80956C" w:rsidR="0091112A" w:rsidRPr="003E0349" w:rsidRDefault="00CD0390" w:rsidP="00C84D6B">
      <w:pPr>
        <w:pStyle w:val="ListParagraph"/>
        <w:widowControl w:val="0"/>
        <w:numPr>
          <w:ilvl w:val="0"/>
          <w:numId w:val="26"/>
        </w:numPr>
        <w:spacing w:after="120"/>
        <w:jc w:val="both"/>
        <w:rPr>
          <w:rFonts w:ascii="Arial" w:hAnsi="Arial" w:cs="Arial"/>
          <w:lang w:val="en-GB"/>
        </w:rPr>
      </w:pPr>
      <w:r>
        <w:rPr>
          <w:rFonts w:ascii="Arial" w:hAnsi="Arial" w:cs="Arial"/>
          <w:lang w:val="en-GB"/>
        </w:rPr>
        <w:t>980</w:t>
      </w:r>
      <w:r w:rsidRPr="003E0349">
        <w:rPr>
          <w:rFonts w:ascii="Arial" w:hAnsi="Arial" w:cs="Arial"/>
          <w:lang w:val="en-GB"/>
        </w:rPr>
        <w:t xml:space="preserve"> </w:t>
      </w:r>
      <w:r w:rsidR="00ED096E" w:rsidRPr="003E0349">
        <w:rPr>
          <w:rFonts w:ascii="Arial" w:hAnsi="Arial" w:cs="Arial"/>
          <w:lang w:val="en-GB"/>
        </w:rPr>
        <w:t xml:space="preserve">MW on Romania – Hungary border, representing </w:t>
      </w:r>
      <w:r>
        <w:rPr>
          <w:rFonts w:ascii="Arial" w:hAnsi="Arial" w:cs="Arial"/>
          <w:lang w:val="en-GB"/>
        </w:rPr>
        <w:t>41</w:t>
      </w:r>
      <w:r w:rsidR="0091112A" w:rsidRPr="003E0349">
        <w:rPr>
          <w:rFonts w:ascii="Arial" w:hAnsi="Arial" w:cs="Arial"/>
          <w:lang w:val="en-GB"/>
        </w:rPr>
        <w:t xml:space="preserve"> </w:t>
      </w:r>
      <w:r w:rsidR="00ED096E" w:rsidRPr="003E0349">
        <w:rPr>
          <w:rFonts w:ascii="Arial" w:hAnsi="Arial" w:cs="Arial"/>
          <w:lang w:val="en-GB"/>
        </w:rPr>
        <w:t xml:space="preserve">% </w:t>
      </w:r>
      <w:r w:rsidR="00A45ED2" w:rsidRPr="003E0349">
        <w:rPr>
          <w:rFonts w:ascii="Arial" w:hAnsi="Arial" w:cs="Arial"/>
          <w:lang w:val="en-GB"/>
        </w:rPr>
        <w:t xml:space="preserve">of </w:t>
      </w:r>
      <w:r w:rsidR="00ED096E" w:rsidRPr="003E0349">
        <w:rPr>
          <w:rFonts w:ascii="Arial" w:hAnsi="Arial" w:cs="Arial"/>
          <w:lang w:val="en-GB"/>
        </w:rPr>
        <w:t>the transmission capacity</w:t>
      </w:r>
      <w:r w:rsidR="0091112A" w:rsidRPr="003E0349">
        <w:rPr>
          <w:rFonts w:ascii="Arial" w:hAnsi="Arial" w:cs="Arial"/>
          <w:lang w:val="en-GB"/>
        </w:rPr>
        <w:t>;</w:t>
      </w:r>
    </w:p>
    <w:p w14:paraId="44481492" w14:textId="60A95D75" w:rsidR="000D417E" w:rsidRPr="003E0349" w:rsidRDefault="00CD0390" w:rsidP="00C84D6B">
      <w:pPr>
        <w:pStyle w:val="ListParagraph"/>
        <w:widowControl w:val="0"/>
        <w:numPr>
          <w:ilvl w:val="0"/>
          <w:numId w:val="26"/>
        </w:numPr>
        <w:spacing w:after="120"/>
        <w:jc w:val="both"/>
        <w:rPr>
          <w:rFonts w:ascii="Arial" w:hAnsi="Arial" w:cs="Arial"/>
          <w:lang w:val="en-GB"/>
        </w:rPr>
      </w:pPr>
      <w:r>
        <w:rPr>
          <w:rFonts w:ascii="Arial" w:hAnsi="Arial" w:cs="Arial"/>
          <w:lang w:val="en-GB"/>
        </w:rPr>
        <w:t>1890</w:t>
      </w:r>
      <w:r w:rsidRPr="003E0349">
        <w:rPr>
          <w:rFonts w:ascii="Arial" w:hAnsi="Arial" w:cs="Arial"/>
          <w:lang w:val="en-GB"/>
        </w:rPr>
        <w:t xml:space="preserve"> </w:t>
      </w:r>
      <w:r w:rsidR="0091112A" w:rsidRPr="003E0349">
        <w:rPr>
          <w:rFonts w:ascii="Arial" w:hAnsi="Arial" w:cs="Arial"/>
          <w:lang w:val="en-GB"/>
        </w:rPr>
        <w:t xml:space="preserve">MW on Romania – Bulgaria border, representing </w:t>
      </w:r>
      <w:r>
        <w:rPr>
          <w:rFonts w:ascii="Arial" w:hAnsi="Arial" w:cs="Arial"/>
          <w:lang w:val="en-GB"/>
        </w:rPr>
        <w:t>52</w:t>
      </w:r>
      <w:r w:rsidR="0091112A" w:rsidRPr="003E0349">
        <w:rPr>
          <w:rFonts w:ascii="Arial" w:hAnsi="Arial" w:cs="Arial"/>
          <w:lang w:val="en-GB"/>
        </w:rPr>
        <w:t xml:space="preserve"> %</w:t>
      </w:r>
      <w:r w:rsidR="00ED096E" w:rsidRPr="003E0349">
        <w:rPr>
          <w:rFonts w:ascii="Arial" w:hAnsi="Arial" w:cs="Arial"/>
          <w:lang w:val="en-GB"/>
        </w:rPr>
        <w:t xml:space="preserve"> </w:t>
      </w:r>
      <w:r w:rsidR="0091112A" w:rsidRPr="003E0349">
        <w:rPr>
          <w:rFonts w:ascii="Arial" w:hAnsi="Arial" w:cs="Arial"/>
          <w:lang w:val="en-GB"/>
        </w:rPr>
        <w:t>of the transmission capacity.</w:t>
      </w:r>
    </w:p>
    <w:p w14:paraId="3E89C3DD" w14:textId="50577C22" w:rsidR="00DE2CD9" w:rsidRDefault="000D417E" w:rsidP="002B0DDE">
      <w:pPr>
        <w:widowControl w:val="0"/>
        <w:spacing w:after="120"/>
        <w:jc w:val="both"/>
        <w:rPr>
          <w:rFonts w:ascii="Arial" w:hAnsi="Arial" w:cs="Arial"/>
          <w:lang w:val="en-GB"/>
        </w:rPr>
      </w:pPr>
      <w:r w:rsidRPr="003E0349">
        <w:rPr>
          <w:rFonts w:ascii="Arial" w:hAnsi="Arial" w:cs="Arial"/>
          <w:lang w:val="en-GB"/>
        </w:rPr>
        <w:t>(</w:t>
      </w:r>
      <w:r w:rsidR="000D22D8" w:rsidRPr="003E0349">
        <w:rPr>
          <w:rFonts w:ascii="Arial" w:hAnsi="Arial" w:cs="Arial"/>
          <w:lang w:val="en-GB"/>
        </w:rPr>
        <w:t>3</w:t>
      </w:r>
      <w:r w:rsidRPr="003E0349">
        <w:rPr>
          <w:rFonts w:ascii="Arial" w:hAnsi="Arial" w:cs="Arial"/>
          <w:lang w:val="en-GB"/>
        </w:rPr>
        <w:t xml:space="preserve">) </w:t>
      </w:r>
      <w:r w:rsidR="00667ADF">
        <w:rPr>
          <w:rFonts w:ascii="Arial" w:hAnsi="Arial" w:cs="Arial"/>
          <w:lang w:val="en-GB"/>
        </w:rPr>
        <w:t xml:space="preserve">CNTEE </w:t>
      </w:r>
      <w:r w:rsidR="00ED096E" w:rsidRPr="003E0349">
        <w:rPr>
          <w:rFonts w:ascii="Arial" w:hAnsi="Arial" w:cs="Arial"/>
          <w:lang w:val="en-GB"/>
        </w:rPr>
        <w:t xml:space="preserve">Transelectrica </w:t>
      </w:r>
      <w:r w:rsidR="00667ADF">
        <w:rPr>
          <w:rFonts w:ascii="Arial" w:hAnsi="Arial" w:cs="Arial"/>
          <w:lang w:val="en-GB"/>
        </w:rPr>
        <w:t xml:space="preserve">SA </w:t>
      </w:r>
      <w:r w:rsidR="00ED096E" w:rsidRPr="003E0349">
        <w:rPr>
          <w:rFonts w:ascii="Arial" w:hAnsi="Arial" w:cs="Arial"/>
          <w:lang w:val="en-GB"/>
        </w:rPr>
        <w:t xml:space="preserve">will report the achieved minimum capacity to ANRE </w:t>
      </w:r>
      <w:r w:rsidR="00B529E8" w:rsidRPr="003E0349">
        <w:rPr>
          <w:rFonts w:ascii="Arial" w:hAnsi="Arial" w:cs="Arial"/>
          <w:lang w:val="en-GB"/>
        </w:rPr>
        <w:t xml:space="preserve">along with any deviation accompanied by the justification, if </w:t>
      </w:r>
      <w:r w:rsidR="00F53418" w:rsidRPr="003E0349">
        <w:rPr>
          <w:rFonts w:ascii="Arial" w:hAnsi="Arial" w:cs="Arial"/>
          <w:lang w:val="en-GB"/>
        </w:rPr>
        <w:t xml:space="preserve">this </w:t>
      </w:r>
      <w:r w:rsidR="00B529E8" w:rsidRPr="003E0349">
        <w:rPr>
          <w:rFonts w:ascii="Arial" w:hAnsi="Arial" w:cs="Arial"/>
          <w:lang w:val="en-GB"/>
        </w:rPr>
        <w:t>is the case.</w:t>
      </w:r>
    </w:p>
    <w:p w14:paraId="41801760" w14:textId="4742144B" w:rsidR="00A036D8" w:rsidRPr="003E0349" w:rsidRDefault="00DE2CD9" w:rsidP="002B0DDE">
      <w:pPr>
        <w:widowControl w:val="0"/>
        <w:spacing w:after="120"/>
        <w:jc w:val="both"/>
        <w:rPr>
          <w:rFonts w:ascii="Arial" w:hAnsi="Arial" w:cs="Arial"/>
          <w:lang w:val="en-GB"/>
        </w:rPr>
      </w:pPr>
      <w:r>
        <w:rPr>
          <w:rFonts w:ascii="Arial" w:hAnsi="Arial" w:cs="Arial"/>
          <w:lang w:val="en-GB"/>
        </w:rPr>
        <w:t>(4)</w:t>
      </w:r>
      <w:r w:rsidR="00667ADF">
        <w:rPr>
          <w:rFonts w:ascii="Arial" w:hAnsi="Arial" w:cs="Arial"/>
          <w:lang w:val="en-GB"/>
        </w:rPr>
        <w:t xml:space="preserve"> </w:t>
      </w:r>
      <w:r w:rsidR="000762F7" w:rsidRPr="003E0349">
        <w:rPr>
          <w:rFonts w:ascii="Arial" w:hAnsi="Arial" w:cs="Arial"/>
          <w:lang w:val="en-GB"/>
        </w:rPr>
        <w:t>Therefore, the aim of the derogation does not go beyond the need to maintain operational security.</w:t>
      </w:r>
    </w:p>
    <w:p w14:paraId="704A0D89" w14:textId="4CBC7953" w:rsidR="000762F7" w:rsidRPr="003E0349" w:rsidRDefault="000D417E" w:rsidP="002B0DDE">
      <w:pPr>
        <w:widowControl w:val="0"/>
        <w:spacing w:after="120"/>
        <w:jc w:val="both"/>
        <w:rPr>
          <w:rFonts w:ascii="Arial" w:hAnsi="Arial" w:cs="Arial"/>
          <w:lang w:val="en-GB"/>
        </w:rPr>
      </w:pPr>
      <w:r w:rsidRPr="003E0349">
        <w:rPr>
          <w:rFonts w:ascii="Arial" w:hAnsi="Arial" w:cs="Arial"/>
          <w:lang w:val="en-GB"/>
        </w:rPr>
        <w:t>(</w:t>
      </w:r>
      <w:r w:rsidR="00DE2CD9">
        <w:rPr>
          <w:rFonts w:ascii="Arial" w:hAnsi="Arial" w:cs="Arial"/>
          <w:lang w:val="en-GB"/>
        </w:rPr>
        <w:t>5</w:t>
      </w:r>
      <w:r w:rsidRPr="003E0349">
        <w:rPr>
          <w:rFonts w:ascii="Arial" w:hAnsi="Arial" w:cs="Arial"/>
          <w:lang w:val="en-GB"/>
        </w:rPr>
        <w:t xml:space="preserve">) </w:t>
      </w:r>
      <w:r w:rsidR="000762F7" w:rsidRPr="003E0349">
        <w:rPr>
          <w:rFonts w:ascii="Arial" w:hAnsi="Arial" w:cs="Arial"/>
          <w:lang w:val="en-GB"/>
        </w:rPr>
        <w:t>The proposed derogation is required just to maintain the operational system security and does not contain any measures which can le</w:t>
      </w:r>
      <w:r w:rsidR="00F51CFD" w:rsidRPr="003E0349">
        <w:rPr>
          <w:rFonts w:ascii="Arial" w:hAnsi="Arial" w:cs="Arial"/>
          <w:lang w:val="en-GB"/>
        </w:rPr>
        <w:t>a</w:t>
      </w:r>
      <w:r w:rsidR="000762F7" w:rsidRPr="003E0349">
        <w:rPr>
          <w:rFonts w:ascii="Arial" w:hAnsi="Arial" w:cs="Arial"/>
          <w:lang w:val="en-GB"/>
        </w:rPr>
        <w:t xml:space="preserve">d to discrimination between internal and cross-zonal exchanges. </w:t>
      </w:r>
      <w:r w:rsidR="00842A3E" w:rsidRPr="003E0349">
        <w:rPr>
          <w:rFonts w:ascii="Arial" w:hAnsi="Arial" w:cs="Arial"/>
          <w:lang w:val="en-GB"/>
        </w:rPr>
        <w:t>Also, the derogation does not provide any grounds for curtailing the already allocated capacity on Romania – Hungary</w:t>
      </w:r>
      <w:r w:rsidR="0091112A" w:rsidRPr="003E0349">
        <w:rPr>
          <w:rFonts w:ascii="Arial" w:hAnsi="Arial" w:cs="Arial"/>
          <w:lang w:val="en-GB"/>
        </w:rPr>
        <w:t xml:space="preserve"> and Romania - Bulgaria</w:t>
      </w:r>
      <w:r w:rsidR="00842A3E" w:rsidRPr="003E0349">
        <w:rPr>
          <w:rFonts w:ascii="Arial" w:hAnsi="Arial" w:cs="Arial"/>
          <w:lang w:val="en-GB"/>
        </w:rPr>
        <w:t xml:space="preserve"> border</w:t>
      </w:r>
      <w:r w:rsidR="0091112A" w:rsidRPr="003E0349">
        <w:rPr>
          <w:rFonts w:ascii="Arial" w:hAnsi="Arial" w:cs="Arial"/>
          <w:lang w:val="en-GB"/>
        </w:rPr>
        <w:t>s</w:t>
      </w:r>
      <w:r w:rsidR="00842A3E" w:rsidRPr="003E0349">
        <w:rPr>
          <w:rFonts w:ascii="Arial" w:hAnsi="Arial" w:cs="Arial"/>
          <w:lang w:val="en-GB"/>
        </w:rPr>
        <w:t xml:space="preserve">. </w:t>
      </w:r>
      <w:r w:rsidR="000762F7" w:rsidRPr="003E0349">
        <w:rPr>
          <w:rFonts w:ascii="Arial" w:hAnsi="Arial" w:cs="Arial"/>
          <w:lang w:val="en-GB"/>
        </w:rPr>
        <w:t xml:space="preserve"> </w:t>
      </w:r>
    </w:p>
    <w:p w14:paraId="7474AB7E" w14:textId="75874BBA" w:rsidR="00811A34" w:rsidRPr="003E0349" w:rsidRDefault="00811A34" w:rsidP="002B0DDE">
      <w:pPr>
        <w:widowControl w:val="0"/>
        <w:spacing w:after="120"/>
        <w:jc w:val="both"/>
        <w:rPr>
          <w:rFonts w:ascii="Arial" w:hAnsi="Arial" w:cs="Arial"/>
          <w:lang w:val="en-GB"/>
        </w:rPr>
      </w:pPr>
      <w:r w:rsidRPr="003E0349">
        <w:rPr>
          <w:rFonts w:ascii="Arial" w:hAnsi="Arial" w:cs="Arial"/>
          <w:lang w:val="en-GB"/>
        </w:rPr>
        <w:t>(</w:t>
      </w:r>
      <w:r w:rsidR="00DE2CD9">
        <w:rPr>
          <w:rFonts w:ascii="Arial" w:hAnsi="Arial" w:cs="Arial"/>
          <w:lang w:val="en-GB"/>
        </w:rPr>
        <w:t>6</w:t>
      </w:r>
      <w:r w:rsidRPr="003E0349">
        <w:rPr>
          <w:rFonts w:ascii="Arial" w:hAnsi="Arial" w:cs="Arial"/>
          <w:lang w:val="en-GB"/>
        </w:rPr>
        <w:t>) Article 16(9) of Regulation 2019/943 provides that, at the request of the TSOs in a CCR, the relevant regulatory authorities may grant a derogation on foreseeable grounds for maintaining operational security to allow the requester to reach the minimum level of capacity.</w:t>
      </w:r>
    </w:p>
    <w:p w14:paraId="1D764453" w14:textId="1597D0FF" w:rsidR="009F45F3" w:rsidRPr="003E0349" w:rsidRDefault="000D417E" w:rsidP="002B0DDE">
      <w:pPr>
        <w:pStyle w:val="NoSpacing"/>
        <w:spacing w:after="120" w:line="276" w:lineRule="auto"/>
        <w:jc w:val="both"/>
        <w:rPr>
          <w:rFonts w:ascii="Arial" w:eastAsia="Times New Roman" w:hAnsi="Arial" w:cs="Arial"/>
          <w:lang w:val="en-GB" w:bidi="en-US"/>
        </w:rPr>
      </w:pPr>
      <w:r w:rsidRPr="003E0349">
        <w:rPr>
          <w:rFonts w:ascii="Arial" w:eastAsia="Times New Roman" w:hAnsi="Arial" w:cs="Arial"/>
          <w:lang w:val="en-GB" w:bidi="en-US"/>
        </w:rPr>
        <w:t>(</w:t>
      </w:r>
      <w:r w:rsidR="00DE2CD9">
        <w:rPr>
          <w:rFonts w:ascii="Arial" w:eastAsia="Times New Roman" w:hAnsi="Arial" w:cs="Arial"/>
          <w:lang w:val="en-GB" w:bidi="en-US"/>
        </w:rPr>
        <w:t>7</w:t>
      </w:r>
      <w:r w:rsidRPr="003E0349">
        <w:rPr>
          <w:rFonts w:ascii="Arial" w:eastAsia="Times New Roman" w:hAnsi="Arial" w:cs="Arial"/>
          <w:lang w:val="en-GB" w:bidi="en-US"/>
        </w:rPr>
        <w:t xml:space="preserve">) </w:t>
      </w:r>
      <w:r w:rsidR="00AD0BE2" w:rsidRPr="003E0349">
        <w:rPr>
          <w:rFonts w:ascii="Arial" w:eastAsia="Times New Roman" w:hAnsi="Arial" w:cs="Arial"/>
          <w:lang w:val="en-GB" w:bidi="en-US"/>
        </w:rPr>
        <w:t xml:space="preserve">Taking into consideration all the above reasons, </w:t>
      </w:r>
      <w:r w:rsidR="00094727">
        <w:rPr>
          <w:rFonts w:ascii="Arial" w:eastAsia="Times New Roman" w:hAnsi="Arial" w:cs="Arial"/>
          <w:lang w:val="en-GB" w:bidi="en-US"/>
        </w:rPr>
        <w:t xml:space="preserve">CNTEE </w:t>
      </w:r>
      <w:r w:rsidR="00AD0BE2" w:rsidRPr="003E0349">
        <w:rPr>
          <w:rFonts w:ascii="Arial" w:eastAsia="Times New Roman" w:hAnsi="Arial" w:cs="Arial"/>
          <w:lang w:val="en-GB" w:bidi="en-US"/>
        </w:rPr>
        <w:t>Transelectrica SA pursuant to Article 16(9) of Regulation (EU) 2019/943 requests a derogation from the obligations under Article 16(8) of Regulation (EU) 2019/943 regarding the bidding zone border</w:t>
      </w:r>
      <w:r w:rsidR="0091112A" w:rsidRPr="003E0349">
        <w:rPr>
          <w:rFonts w:ascii="Arial" w:eastAsia="Times New Roman" w:hAnsi="Arial" w:cs="Arial"/>
          <w:lang w:val="en-GB" w:bidi="en-US"/>
        </w:rPr>
        <w:t>s</w:t>
      </w:r>
      <w:r w:rsidR="00AD0BE2" w:rsidRPr="003E0349">
        <w:rPr>
          <w:rFonts w:ascii="Arial" w:eastAsia="Times New Roman" w:hAnsi="Arial" w:cs="Arial"/>
          <w:lang w:val="en-GB" w:bidi="en-US"/>
        </w:rPr>
        <w:t xml:space="preserve"> Romania – Hungary </w:t>
      </w:r>
      <w:r w:rsidR="0091112A" w:rsidRPr="003E0349">
        <w:rPr>
          <w:rFonts w:ascii="Arial" w:eastAsia="Times New Roman" w:hAnsi="Arial" w:cs="Arial"/>
          <w:lang w:val="en-GB" w:bidi="en-US"/>
        </w:rPr>
        <w:t xml:space="preserve">and Romania – Bulgaria </w:t>
      </w:r>
      <w:r w:rsidR="00AD0BE2" w:rsidRPr="003E0349">
        <w:rPr>
          <w:rFonts w:ascii="Arial" w:eastAsia="Times New Roman" w:hAnsi="Arial" w:cs="Arial"/>
          <w:lang w:val="en-GB" w:bidi="en-US"/>
        </w:rPr>
        <w:t xml:space="preserve">for </w:t>
      </w:r>
      <w:r w:rsidR="00F51CFD" w:rsidRPr="003E0349">
        <w:rPr>
          <w:rFonts w:ascii="Arial" w:eastAsia="Times New Roman" w:hAnsi="Arial" w:cs="Arial"/>
          <w:lang w:val="en-GB" w:bidi="en-US"/>
        </w:rPr>
        <w:t xml:space="preserve">the year </w:t>
      </w:r>
      <w:r w:rsidR="0091112A" w:rsidRPr="003E0349">
        <w:rPr>
          <w:rFonts w:ascii="Arial" w:eastAsia="Times New Roman" w:hAnsi="Arial" w:cs="Arial"/>
          <w:lang w:val="en-GB" w:bidi="en-US"/>
        </w:rPr>
        <w:t>202</w:t>
      </w:r>
      <w:r w:rsidR="00DE2CD9">
        <w:rPr>
          <w:rFonts w:ascii="Arial" w:eastAsia="Times New Roman" w:hAnsi="Arial" w:cs="Arial"/>
          <w:lang w:val="en-GB" w:bidi="en-US"/>
        </w:rPr>
        <w:t>5</w:t>
      </w:r>
      <w:r w:rsidR="00F51CFD" w:rsidRPr="003E0349">
        <w:rPr>
          <w:rFonts w:ascii="Arial" w:eastAsia="Times New Roman" w:hAnsi="Arial" w:cs="Arial"/>
          <w:lang w:val="en-GB" w:bidi="en-US"/>
        </w:rPr>
        <w:t>.</w:t>
      </w:r>
    </w:p>
    <w:p w14:paraId="63B2B748" w14:textId="703F2B01" w:rsidR="005452A5" w:rsidRPr="003E0349" w:rsidRDefault="00F53418" w:rsidP="0061277E">
      <w:pPr>
        <w:pStyle w:val="NoSpacing"/>
        <w:spacing w:line="276" w:lineRule="auto"/>
        <w:jc w:val="both"/>
        <w:rPr>
          <w:rFonts w:ascii="Arial" w:hAnsi="Arial" w:cs="Arial"/>
          <w:color w:val="FF0000"/>
          <w:lang w:val="en-GB"/>
        </w:rPr>
      </w:pPr>
      <w:r w:rsidRPr="003E0349" w:rsidDel="00F53418">
        <w:rPr>
          <w:rFonts w:ascii="Arial" w:eastAsia="Times New Roman" w:hAnsi="Arial" w:cs="Arial"/>
          <w:lang w:val="en-GB" w:bidi="en-US"/>
        </w:rPr>
        <w:t xml:space="preserve"> </w:t>
      </w:r>
      <w:r w:rsidR="000D22D8" w:rsidRPr="003E0349">
        <w:rPr>
          <w:rFonts w:ascii="Arial" w:hAnsi="Arial" w:cs="Arial"/>
          <w:lang w:val="en-GB"/>
        </w:rPr>
        <w:t>(</w:t>
      </w:r>
      <w:r w:rsidR="00DE2CD9">
        <w:rPr>
          <w:rFonts w:ascii="Arial" w:hAnsi="Arial" w:cs="Arial"/>
          <w:lang w:val="en-GB"/>
        </w:rPr>
        <w:t>8</w:t>
      </w:r>
      <w:r w:rsidR="000D22D8" w:rsidRPr="003E0349">
        <w:rPr>
          <w:rFonts w:ascii="Arial" w:hAnsi="Arial" w:cs="Arial"/>
          <w:lang w:val="en-GB"/>
        </w:rPr>
        <w:t>) If at the expiry</w:t>
      </w:r>
      <w:r w:rsidRPr="003E0349">
        <w:rPr>
          <w:rFonts w:ascii="Arial" w:hAnsi="Arial" w:cs="Arial"/>
          <w:lang w:val="en-GB"/>
        </w:rPr>
        <w:t xml:space="preserve"> date</w:t>
      </w:r>
      <w:r w:rsidR="000D22D8" w:rsidRPr="003E0349">
        <w:rPr>
          <w:rFonts w:ascii="Arial" w:hAnsi="Arial" w:cs="Arial"/>
          <w:lang w:val="en-GB"/>
        </w:rPr>
        <w:t xml:space="preserve"> of the derogation period, any of the reasons described in the current derogation are not </w:t>
      </w:r>
      <w:r w:rsidRPr="003E0349">
        <w:rPr>
          <w:rFonts w:ascii="Arial" w:hAnsi="Arial" w:cs="Arial"/>
          <w:lang w:val="en-GB"/>
        </w:rPr>
        <w:t>resolved</w:t>
      </w:r>
      <w:r w:rsidR="000D22D8" w:rsidRPr="003E0349">
        <w:rPr>
          <w:rFonts w:ascii="Arial" w:hAnsi="Arial" w:cs="Arial"/>
          <w:lang w:val="en-GB"/>
        </w:rPr>
        <w:t xml:space="preserve">, </w:t>
      </w:r>
      <w:r w:rsidR="00094727">
        <w:rPr>
          <w:rFonts w:ascii="Arial" w:hAnsi="Arial" w:cs="Arial"/>
          <w:lang w:val="en-GB"/>
        </w:rPr>
        <w:t xml:space="preserve">CNTEE </w:t>
      </w:r>
      <w:r w:rsidR="000D22D8" w:rsidRPr="003E0349">
        <w:rPr>
          <w:rFonts w:ascii="Arial" w:hAnsi="Arial" w:cs="Arial"/>
          <w:lang w:val="en-GB"/>
        </w:rPr>
        <w:t xml:space="preserve">Transelectrica SA may </w:t>
      </w:r>
      <w:r w:rsidR="00C31E59" w:rsidRPr="003E0349">
        <w:rPr>
          <w:rFonts w:ascii="Arial" w:hAnsi="Arial" w:cs="Arial"/>
          <w:lang w:val="en-GB"/>
        </w:rPr>
        <w:t>request</w:t>
      </w:r>
      <w:r w:rsidR="000D22D8" w:rsidRPr="003E0349">
        <w:rPr>
          <w:rFonts w:ascii="Arial" w:hAnsi="Arial" w:cs="Arial"/>
          <w:lang w:val="en-GB"/>
        </w:rPr>
        <w:t xml:space="preserve"> for a renewal.</w:t>
      </w:r>
    </w:p>
    <w:sectPr w:rsidR="005452A5" w:rsidRPr="003E0349" w:rsidSect="004A2ACF">
      <w:headerReference w:type="even" r:id="rId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8F0F3" w14:textId="77777777" w:rsidR="00FD525B" w:rsidRDefault="00FD525B" w:rsidP="00370564">
      <w:pPr>
        <w:spacing w:after="0" w:line="240" w:lineRule="auto"/>
      </w:pPr>
      <w:r>
        <w:separator/>
      </w:r>
    </w:p>
  </w:endnote>
  <w:endnote w:type="continuationSeparator" w:id="0">
    <w:p w14:paraId="075E1C68" w14:textId="77777777" w:rsidR="00FD525B" w:rsidRDefault="00FD525B" w:rsidP="0037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9" w14:textId="77777777" w:rsidR="00370564" w:rsidRDefault="00370564" w:rsidP="00370564">
    <w:pPr>
      <w:pStyle w:val="Footer"/>
      <w:tabs>
        <w:tab w:val="left" w:pos="90"/>
        <w:tab w:val="left" w:pos="270"/>
        <w:tab w:val="right" w:pos="9450"/>
        <w:tab w:val="left" w:pos="9720"/>
        <w:tab w:val="left" w:pos="9810"/>
      </w:tabs>
      <w:ind w:right="90"/>
    </w:pPr>
    <w:r>
      <w:t xml:space="preserve">  </w:t>
    </w:r>
  </w:p>
  <w:p w14:paraId="1D76447A" w14:textId="77777777" w:rsidR="00370564" w:rsidRPr="004B6AF2" w:rsidRDefault="00370564" w:rsidP="00370564">
    <w:pPr>
      <w:pStyle w:val="Footer"/>
    </w:pPr>
    <w:r>
      <w:rPr>
        <w:rStyle w:val="PageNumber"/>
      </w:rPr>
      <w:fldChar w:fldCharType="begin"/>
    </w:r>
    <w:r>
      <w:rPr>
        <w:rStyle w:val="PageNumber"/>
      </w:rPr>
      <w:instrText xml:space="preserve"> PAGE </w:instrText>
    </w:r>
    <w:r>
      <w:rPr>
        <w:rStyle w:val="PageNumber"/>
      </w:rPr>
      <w:fldChar w:fldCharType="separate"/>
    </w:r>
    <w:r w:rsidR="00ED03A6">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C" w14:textId="77777777" w:rsidR="00370564" w:rsidRDefault="00370564" w:rsidP="00370564">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9FEEE" w14:textId="77777777" w:rsidR="00FD525B" w:rsidRDefault="00FD525B" w:rsidP="00370564">
      <w:pPr>
        <w:spacing w:after="0" w:line="240" w:lineRule="auto"/>
      </w:pPr>
      <w:r>
        <w:separator/>
      </w:r>
    </w:p>
  </w:footnote>
  <w:footnote w:type="continuationSeparator" w:id="0">
    <w:p w14:paraId="433C2A64" w14:textId="77777777" w:rsidR="00FD525B" w:rsidRDefault="00FD525B" w:rsidP="0037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7" w14:textId="45B02A6B" w:rsidR="00370564" w:rsidRDefault="00370564">
    <w:pPr>
      <w:pStyle w:val="Header"/>
    </w:pPr>
    <w:r>
      <w:rPr>
        <w:noProof/>
        <w:szCs w:val="20"/>
        <w:lang w:val="en-GB" w:eastAsia="en-GB" w:bidi="ar-SA"/>
      </w:rPr>
      <w:drawing>
        <wp:anchor distT="0" distB="0" distL="114300" distR="114300" simplePos="0" relativeHeight="251657728" behindDoc="1" locked="0" layoutInCell="1" allowOverlap="1" wp14:anchorId="1D76447D" wp14:editId="19073CB2">
          <wp:simplePos x="0" y="0"/>
          <wp:positionH relativeFrom="margin">
            <wp:align>center</wp:align>
          </wp:positionH>
          <wp:positionV relativeFrom="margin">
            <wp:align>center</wp:align>
          </wp:positionV>
          <wp:extent cx="5759450" cy="81470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ED03A6">
      <w:rPr>
        <w:szCs w:val="20"/>
        <w:lang w:val="en-GB" w:eastAsia="en-GB" w:bidi="x-none"/>
      </w:rPr>
      <w:pict w14:anchorId="1D76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style="position:absolute;margin-left:0;margin-top:0;width:453.5pt;height:641.5pt;z-index:-251659776;mso-wrap-edited:f;mso-position-horizontal:center;mso-position-horizontal-relative:margin;mso-position-vertical:center;mso-position-vertical-relative:margin" wrapcoords="-35 0 -35 21574 21600 21574 21600 0 -35 0">
          <v:imagedata r:id="rId2"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8" w14:textId="77777777" w:rsidR="00370564" w:rsidRDefault="00370564" w:rsidP="00370564">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447B" w14:textId="77777777" w:rsidR="00370564" w:rsidRDefault="00ED03A6" w:rsidP="004A2ACF">
    <w:pPr>
      <w:pStyle w:val="Header"/>
      <w:tabs>
        <w:tab w:val="clear" w:pos="4536"/>
        <w:tab w:val="clear" w:pos="9072"/>
        <w:tab w:val="left" w:pos="827"/>
      </w:tabs>
      <w:ind w:left="-360" w:hanging="540"/>
    </w:pPr>
    <w:r>
      <w:rPr>
        <w:noProof/>
        <w:lang w:val="ro-RO" w:eastAsia="ro-RO" w:bidi="ar-SA"/>
      </w:rPr>
      <w:pict w14:anchorId="1D7644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2" type="#_x0000_t75" style="position:absolute;left:0;text-align:left;margin-left:-52.9pt;margin-top:-76.15pt;width:581.3pt;height:849.75pt;z-index:-251657728;mso-wrap-edited:f;mso-position-horizontal-relative:margin;mso-position-vertical-relative:margin">
          <v:imagedata r:id="rId1" o:title=""/>
          <w10:wrap anchorx="margin" anchory="margin"/>
        </v:shape>
      </w:pict>
    </w:r>
    <w:r w:rsidR="00370564">
      <w:tab/>
    </w:r>
    <w:r w:rsidR="0037056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6D2B"/>
    <w:multiLevelType w:val="hybridMultilevel"/>
    <w:tmpl w:val="E316406A"/>
    <w:lvl w:ilvl="0" w:tplc="0809000B">
      <w:start w:val="1"/>
      <w:numFmt w:val="bullet"/>
      <w:lvlText w:val=""/>
      <w:lvlJc w:val="left"/>
      <w:pPr>
        <w:ind w:left="1137" w:hanging="360"/>
      </w:pPr>
      <w:rPr>
        <w:rFonts w:ascii="Wingdings" w:hAnsi="Wingdings" w:hint="default"/>
      </w:rPr>
    </w:lvl>
    <w:lvl w:ilvl="1" w:tplc="08090003">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3">
    <w:nsid w:val="0EA86C22"/>
    <w:multiLevelType w:val="hybridMultilevel"/>
    <w:tmpl w:val="38D6C102"/>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94A5317"/>
    <w:multiLevelType w:val="hybridMultilevel"/>
    <w:tmpl w:val="AD1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6">
    <w:nsid w:val="1D905038"/>
    <w:multiLevelType w:val="hybridMultilevel"/>
    <w:tmpl w:val="8FE24D6C"/>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7">
    <w:nsid w:val="1FE2586F"/>
    <w:multiLevelType w:val="hybridMultilevel"/>
    <w:tmpl w:val="B5C6F6F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312B6A2A"/>
    <w:multiLevelType w:val="hybridMultilevel"/>
    <w:tmpl w:val="E1203984"/>
    <w:lvl w:ilvl="0" w:tplc="DCF8CEBE">
      <w:start w:val="1"/>
      <w:numFmt w:val="bullet"/>
      <w:lvlText w:val=""/>
      <w:lvlJc w:val="left"/>
      <w:pPr>
        <w:ind w:left="1488" w:hanging="360"/>
      </w:pPr>
      <w:rPr>
        <w:rFonts w:ascii="Wingdings" w:hAnsi="Wingdings" w:hint="default"/>
        <w:color w:val="auto"/>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9">
    <w:nsid w:val="33D11AEE"/>
    <w:multiLevelType w:val="hybridMultilevel"/>
    <w:tmpl w:val="A5DA45B0"/>
    <w:lvl w:ilvl="0" w:tplc="0809000B">
      <w:start w:val="1"/>
      <w:numFmt w:val="bullet"/>
      <w:lvlText w:val=""/>
      <w:lvlJc w:val="left"/>
      <w:pPr>
        <w:ind w:left="1137" w:hanging="360"/>
      </w:pPr>
      <w:rPr>
        <w:rFonts w:ascii="Wingdings" w:hAnsi="Wingdings" w:hint="default"/>
      </w:rPr>
    </w:lvl>
    <w:lvl w:ilvl="1" w:tplc="85B85B9C">
      <w:numFmt w:val="bullet"/>
      <w:lvlText w:val="-"/>
      <w:lvlJc w:val="left"/>
      <w:pPr>
        <w:ind w:left="1857" w:hanging="360"/>
      </w:pPr>
      <w:rPr>
        <w:rFonts w:ascii="Arial" w:eastAsia="Calibri" w:hAnsi="Arial" w:cs="Arial"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0">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1">
    <w:nsid w:val="3BF6004E"/>
    <w:multiLevelType w:val="hybridMultilevel"/>
    <w:tmpl w:val="A3962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CE5A95"/>
    <w:multiLevelType w:val="hybridMultilevel"/>
    <w:tmpl w:val="89B8D252"/>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2C65829"/>
    <w:multiLevelType w:val="hybridMultilevel"/>
    <w:tmpl w:val="AB82372A"/>
    <w:lvl w:ilvl="0" w:tplc="0809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4">
    <w:nsid w:val="47C75108"/>
    <w:multiLevelType w:val="hybridMultilevel"/>
    <w:tmpl w:val="D1EE21AC"/>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4C23104A"/>
    <w:multiLevelType w:val="hybridMultilevel"/>
    <w:tmpl w:val="DAB4D3BC"/>
    <w:lvl w:ilvl="0" w:tplc="427AC666">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27A6B4D"/>
    <w:multiLevelType w:val="hybridMultilevel"/>
    <w:tmpl w:val="83527976"/>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5FCB48D3"/>
    <w:multiLevelType w:val="hybridMultilevel"/>
    <w:tmpl w:val="F4CE0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9">
    <w:nsid w:val="6AF91B93"/>
    <w:multiLevelType w:val="hybridMultilevel"/>
    <w:tmpl w:val="12C0C8E6"/>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nsid w:val="6D6468A7"/>
    <w:multiLevelType w:val="hybridMultilevel"/>
    <w:tmpl w:val="4378D7AE"/>
    <w:lvl w:ilvl="0" w:tplc="04180001">
      <w:start w:val="1"/>
      <w:numFmt w:val="bullet"/>
      <w:lvlText w:val=""/>
      <w:lvlJc w:val="left"/>
      <w:pPr>
        <w:ind w:left="1492" w:hanging="360"/>
      </w:pPr>
      <w:rPr>
        <w:rFonts w:ascii="Symbol" w:hAnsi="Symbol" w:hint="default"/>
      </w:rPr>
    </w:lvl>
    <w:lvl w:ilvl="1" w:tplc="04180003" w:tentative="1">
      <w:start w:val="1"/>
      <w:numFmt w:val="bullet"/>
      <w:lvlText w:val="o"/>
      <w:lvlJc w:val="left"/>
      <w:pPr>
        <w:ind w:left="2212" w:hanging="360"/>
      </w:pPr>
      <w:rPr>
        <w:rFonts w:ascii="Courier New" w:hAnsi="Courier New" w:cs="Courier New" w:hint="default"/>
      </w:rPr>
    </w:lvl>
    <w:lvl w:ilvl="2" w:tplc="04180005" w:tentative="1">
      <w:start w:val="1"/>
      <w:numFmt w:val="bullet"/>
      <w:lvlText w:val=""/>
      <w:lvlJc w:val="left"/>
      <w:pPr>
        <w:ind w:left="2932" w:hanging="360"/>
      </w:pPr>
      <w:rPr>
        <w:rFonts w:ascii="Wingdings" w:hAnsi="Wingdings" w:hint="default"/>
      </w:rPr>
    </w:lvl>
    <w:lvl w:ilvl="3" w:tplc="04180001" w:tentative="1">
      <w:start w:val="1"/>
      <w:numFmt w:val="bullet"/>
      <w:lvlText w:val=""/>
      <w:lvlJc w:val="left"/>
      <w:pPr>
        <w:ind w:left="3652" w:hanging="360"/>
      </w:pPr>
      <w:rPr>
        <w:rFonts w:ascii="Symbol" w:hAnsi="Symbol" w:hint="default"/>
      </w:rPr>
    </w:lvl>
    <w:lvl w:ilvl="4" w:tplc="04180003" w:tentative="1">
      <w:start w:val="1"/>
      <w:numFmt w:val="bullet"/>
      <w:lvlText w:val="o"/>
      <w:lvlJc w:val="left"/>
      <w:pPr>
        <w:ind w:left="4372" w:hanging="360"/>
      </w:pPr>
      <w:rPr>
        <w:rFonts w:ascii="Courier New" w:hAnsi="Courier New" w:cs="Courier New" w:hint="default"/>
      </w:rPr>
    </w:lvl>
    <w:lvl w:ilvl="5" w:tplc="04180005" w:tentative="1">
      <w:start w:val="1"/>
      <w:numFmt w:val="bullet"/>
      <w:lvlText w:val=""/>
      <w:lvlJc w:val="left"/>
      <w:pPr>
        <w:ind w:left="5092" w:hanging="360"/>
      </w:pPr>
      <w:rPr>
        <w:rFonts w:ascii="Wingdings" w:hAnsi="Wingdings" w:hint="default"/>
      </w:rPr>
    </w:lvl>
    <w:lvl w:ilvl="6" w:tplc="04180001" w:tentative="1">
      <w:start w:val="1"/>
      <w:numFmt w:val="bullet"/>
      <w:lvlText w:val=""/>
      <w:lvlJc w:val="left"/>
      <w:pPr>
        <w:ind w:left="5812" w:hanging="360"/>
      </w:pPr>
      <w:rPr>
        <w:rFonts w:ascii="Symbol" w:hAnsi="Symbol" w:hint="default"/>
      </w:rPr>
    </w:lvl>
    <w:lvl w:ilvl="7" w:tplc="04180003" w:tentative="1">
      <w:start w:val="1"/>
      <w:numFmt w:val="bullet"/>
      <w:lvlText w:val="o"/>
      <w:lvlJc w:val="left"/>
      <w:pPr>
        <w:ind w:left="6532" w:hanging="360"/>
      </w:pPr>
      <w:rPr>
        <w:rFonts w:ascii="Courier New" w:hAnsi="Courier New" w:cs="Courier New" w:hint="default"/>
      </w:rPr>
    </w:lvl>
    <w:lvl w:ilvl="8" w:tplc="04180005" w:tentative="1">
      <w:start w:val="1"/>
      <w:numFmt w:val="bullet"/>
      <w:lvlText w:val=""/>
      <w:lvlJc w:val="left"/>
      <w:pPr>
        <w:ind w:left="7252" w:hanging="360"/>
      </w:pPr>
      <w:rPr>
        <w:rFonts w:ascii="Wingdings" w:hAnsi="Wingdings" w:hint="default"/>
      </w:rPr>
    </w:lvl>
  </w:abstractNum>
  <w:abstractNum w:abstractNumId="21">
    <w:nsid w:val="701C290A"/>
    <w:multiLevelType w:val="hybridMultilevel"/>
    <w:tmpl w:val="AAEA5748"/>
    <w:lvl w:ilvl="0" w:tplc="C0306344">
      <w:start w:val="2"/>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741A6B07"/>
    <w:multiLevelType w:val="hybridMultilevel"/>
    <w:tmpl w:val="29AACAD2"/>
    <w:lvl w:ilvl="0" w:tplc="56BA9106">
      <w:start w:val="2"/>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4">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5">
    <w:nsid w:val="7F5B0B1A"/>
    <w:multiLevelType w:val="hybridMultilevel"/>
    <w:tmpl w:val="5C4EA1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1"/>
  </w:num>
  <w:num w:numId="5">
    <w:abstractNumId w:val="18"/>
  </w:num>
  <w:num w:numId="6">
    <w:abstractNumId w:val="24"/>
  </w:num>
  <w:num w:numId="7">
    <w:abstractNumId w:val="23"/>
  </w:num>
  <w:num w:numId="8">
    <w:abstractNumId w:val="12"/>
  </w:num>
  <w:num w:numId="9">
    <w:abstractNumId w:val="20"/>
  </w:num>
  <w:num w:numId="10">
    <w:abstractNumId w:val="19"/>
  </w:num>
  <w:num w:numId="11">
    <w:abstractNumId w:val="7"/>
  </w:num>
  <w:num w:numId="12">
    <w:abstractNumId w:val="8"/>
  </w:num>
  <w:num w:numId="13">
    <w:abstractNumId w:val="13"/>
  </w:num>
  <w:num w:numId="14">
    <w:abstractNumId w:val="14"/>
  </w:num>
  <w:num w:numId="15">
    <w:abstractNumId w:val="3"/>
  </w:num>
  <w:num w:numId="16">
    <w:abstractNumId w:val="16"/>
  </w:num>
  <w:num w:numId="17">
    <w:abstractNumId w:val="17"/>
  </w:num>
  <w:num w:numId="18">
    <w:abstractNumId w:val="0"/>
  </w:num>
  <w:num w:numId="19">
    <w:abstractNumId w:val="6"/>
  </w:num>
  <w:num w:numId="20">
    <w:abstractNumId w:val="11"/>
  </w:num>
  <w:num w:numId="21">
    <w:abstractNumId w:val="9"/>
  </w:num>
  <w:num w:numId="22">
    <w:abstractNumId w:val="4"/>
  </w:num>
  <w:num w:numId="23">
    <w:abstractNumId w:val="21"/>
  </w:num>
  <w:num w:numId="24">
    <w:abstractNumId w:val="22"/>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M3MzQyMLUwsDQ1tzRR0lEKTi0uzszPAykwqwUAckKWiSwAAAA="/>
  </w:docVars>
  <w:rsids>
    <w:rsidRoot w:val="004A2ACF"/>
    <w:rsid w:val="000128D2"/>
    <w:rsid w:val="000142FE"/>
    <w:rsid w:val="00020153"/>
    <w:rsid w:val="0002512B"/>
    <w:rsid w:val="00034FBB"/>
    <w:rsid w:val="000353A8"/>
    <w:rsid w:val="000401EA"/>
    <w:rsid w:val="00056892"/>
    <w:rsid w:val="000575E3"/>
    <w:rsid w:val="000620FB"/>
    <w:rsid w:val="0006272B"/>
    <w:rsid w:val="00063677"/>
    <w:rsid w:val="00071B3F"/>
    <w:rsid w:val="000762F7"/>
    <w:rsid w:val="000846DB"/>
    <w:rsid w:val="00094727"/>
    <w:rsid w:val="000955E7"/>
    <w:rsid w:val="00097DE4"/>
    <w:rsid w:val="000A0679"/>
    <w:rsid w:val="000C7919"/>
    <w:rsid w:val="000D22D8"/>
    <w:rsid w:val="000D417E"/>
    <w:rsid w:val="000D50D4"/>
    <w:rsid w:val="000E3A3D"/>
    <w:rsid w:val="00100313"/>
    <w:rsid w:val="00102A6E"/>
    <w:rsid w:val="0010317D"/>
    <w:rsid w:val="0010444C"/>
    <w:rsid w:val="00105086"/>
    <w:rsid w:val="001154B6"/>
    <w:rsid w:val="00137FF3"/>
    <w:rsid w:val="001522A6"/>
    <w:rsid w:val="001533CB"/>
    <w:rsid w:val="00153E3E"/>
    <w:rsid w:val="0015468D"/>
    <w:rsid w:val="00161361"/>
    <w:rsid w:val="00163A53"/>
    <w:rsid w:val="0017135C"/>
    <w:rsid w:val="001714C1"/>
    <w:rsid w:val="001726AD"/>
    <w:rsid w:val="00174FF7"/>
    <w:rsid w:val="00175357"/>
    <w:rsid w:val="001A2746"/>
    <w:rsid w:val="001B6ED7"/>
    <w:rsid w:val="001B7B11"/>
    <w:rsid w:val="001E3BC6"/>
    <w:rsid w:val="002010C2"/>
    <w:rsid w:val="002025D4"/>
    <w:rsid w:val="00204C96"/>
    <w:rsid w:val="00205AA8"/>
    <w:rsid w:val="00210FD1"/>
    <w:rsid w:val="0021759C"/>
    <w:rsid w:val="002228D4"/>
    <w:rsid w:val="0022651C"/>
    <w:rsid w:val="00232F96"/>
    <w:rsid w:val="0023449D"/>
    <w:rsid w:val="00250EAC"/>
    <w:rsid w:val="00256F04"/>
    <w:rsid w:val="00261AFD"/>
    <w:rsid w:val="00261D94"/>
    <w:rsid w:val="002715D8"/>
    <w:rsid w:val="00281710"/>
    <w:rsid w:val="00285DE7"/>
    <w:rsid w:val="0028766A"/>
    <w:rsid w:val="00293B19"/>
    <w:rsid w:val="002A0C77"/>
    <w:rsid w:val="002B0DDE"/>
    <w:rsid w:val="002B35B6"/>
    <w:rsid w:val="002C0AE7"/>
    <w:rsid w:val="002C544B"/>
    <w:rsid w:val="002F1DC2"/>
    <w:rsid w:val="00305ABE"/>
    <w:rsid w:val="00313105"/>
    <w:rsid w:val="00313367"/>
    <w:rsid w:val="00315AAC"/>
    <w:rsid w:val="00323AA5"/>
    <w:rsid w:val="00332E1F"/>
    <w:rsid w:val="0033563C"/>
    <w:rsid w:val="003462A8"/>
    <w:rsid w:val="0036582D"/>
    <w:rsid w:val="00370564"/>
    <w:rsid w:val="00370C52"/>
    <w:rsid w:val="00382FDF"/>
    <w:rsid w:val="003A16F7"/>
    <w:rsid w:val="003A16FE"/>
    <w:rsid w:val="003A431A"/>
    <w:rsid w:val="003A68A2"/>
    <w:rsid w:val="003B646D"/>
    <w:rsid w:val="003C5D39"/>
    <w:rsid w:val="003C6D01"/>
    <w:rsid w:val="003D083E"/>
    <w:rsid w:val="003D193B"/>
    <w:rsid w:val="003E0349"/>
    <w:rsid w:val="003E154F"/>
    <w:rsid w:val="003E2F08"/>
    <w:rsid w:val="003E4873"/>
    <w:rsid w:val="00404C2F"/>
    <w:rsid w:val="0041318E"/>
    <w:rsid w:val="0041392B"/>
    <w:rsid w:val="00413E3B"/>
    <w:rsid w:val="00415EA0"/>
    <w:rsid w:val="00430772"/>
    <w:rsid w:val="004350B3"/>
    <w:rsid w:val="0043635C"/>
    <w:rsid w:val="004413D4"/>
    <w:rsid w:val="00445F2E"/>
    <w:rsid w:val="00452B34"/>
    <w:rsid w:val="004618B6"/>
    <w:rsid w:val="004726F2"/>
    <w:rsid w:val="00477021"/>
    <w:rsid w:val="004925E1"/>
    <w:rsid w:val="00494316"/>
    <w:rsid w:val="004A2ACF"/>
    <w:rsid w:val="004A2DE6"/>
    <w:rsid w:val="004B0BD6"/>
    <w:rsid w:val="004B1DAF"/>
    <w:rsid w:val="004B7610"/>
    <w:rsid w:val="004C2DF9"/>
    <w:rsid w:val="004D45BB"/>
    <w:rsid w:val="004E0B45"/>
    <w:rsid w:val="004F2E62"/>
    <w:rsid w:val="00517751"/>
    <w:rsid w:val="00527B84"/>
    <w:rsid w:val="0053504E"/>
    <w:rsid w:val="005442ED"/>
    <w:rsid w:val="00544530"/>
    <w:rsid w:val="005452A5"/>
    <w:rsid w:val="00557684"/>
    <w:rsid w:val="00562CB7"/>
    <w:rsid w:val="005665D0"/>
    <w:rsid w:val="0057663F"/>
    <w:rsid w:val="00581E57"/>
    <w:rsid w:val="0058594D"/>
    <w:rsid w:val="005912F4"/>
    <w:rsid w:val="00594B45"/>
    <w:rsid w:val="005A049F"/>
    <w:rsid w:val="005B1D68"/>
    <w:rsid w:val="005B6E41"/>
    <w:rsid w:val="005B74B8"/>
    <w:rsid w:val="005D2EAB"/>
    <w:rsid w:val="005E0F4B"/>
    <w:rsid w:val="005E4E24"/>
    <w:rsid w:val="005F22F8"/>
    <w:rsid w:val="005F2C03"/>
    <w:rsid w:val="006071F3"/>
    <w:rsid w:val="0061277E"/>
    <w:rsid w:val="00614646"/>
    <w:rsid w:val="00620BC7"/>
    <w:rsid w:val="00622D85"/>
    <w:rsid w:val="00635223"/>
    <w:rsid w:val="00636708"/>
    <w:rsid w:val="00652486"/>
    <w:rsid w:val="00654BC7"/>
    <w:rsid w:val="00666875"/>
    <w:rsid w:val="00667ADF"/>
    <w:rsid w:val="00677585"/>
    <w:rsid w:val="00682827"/>
    <w:rsid w:val="00682B55"/>
    <w:rsid w:val="00686252"/>
    <w:rsid w:val="006920D0"/>
    <w:rsid w:val="006A75B0"/>
    <w:rsid w:val="006B0115"/>
    <w:rsid w:val="006B7F9A"/>
    <w:rsid w:val="006C1FB2"/>
    <w:rsid w:val="006D2FB7"/>
    <w:rsid w:val="006D5664"/>
    <w:rsid w:val="006D6FA2"/>
    <w:rsid w:val="006E0A1D"/>
    <w:rsid w:val="006F4468"/>
    <w:rsid w:val="006F580D"/>
    <w:rsid w:val="0070226B"/>
    <w:rsid w:val="0070317D"/>
    <w:rsid w:val="00710883"/>
    <w:rsid w:val="00745EB1"/>
    <w:rsid w:val="007519AF"/>
    <w:rsid w:val="00751AF7"/>
    <w:rsid w:val="00751B8F"/>
    <w:rsid w:val="007608AA"/>
    <w:rsid w:val="007650F2"/>
    <w:rsid w:val="007706F7"/>
    <w:rsid w:val="00770A4C"/>
    <w:rsid w:val="00771331"/>
    <w:rsid w:val="00775D21"/>
    <w:rsid w:val="00783393"/>
    <w:rsid w:val="007863EC"/>
    <w:rsid w:val="00786ACD"/>
    <w:rsid w:val="00793527"/>
    <w:rsid w:val="00795D9B"/>
    <w:rsid w:val="007A0898"/>
    <w:rsid w:val="007A21D4"/>
    <w:rsid w:val="007A58BD"/>
    <w:rsid w:val="007A70B4"/>
    <w:rsid w:val="007C1FFD"/>
    <w:rsid w:val="007C53AD"/>
    <w:rsid w:val="007E26C8"/>
    <w:rsid w:val="007E6CAA"/>
    <w:rsid w:val="007F3DBF"/>
    <w:rsid w:val="007F714F"/>
    <w:rsid w:val="008023D1"/>
    <w:rsid w:val="0080284F"/>
    <w:rsid w:val="00807E8D"/>
    <w:rsid w:val="00811A34"/>
    <w:rsid w:val="00841803"/>
    <w:rsid w:val="00842A3E"/>
    <w:rsid w:val="0084485F"/>
    <w:rsid w:val="00845E94"/>
    <w:rsid w:val="00860F50"/>
    <w:rsid w:val="008769F3"/>
    <w:rsid w:val="00876EAC"/>
    <w:rsid w:val="008A0F12"/>
    <w:rsid w:val="008A1EBB"/>
    <w:rsid w:val="008A2660"/>
    <w:rsid w:val="008A304A"/>
    <w:rsid w:val="008A481A"/>
    <w:rsid w:val="008B0DCF"/>
    <w:rsid w:val="008B1037"/>
    <w:rsid w:val="008B3843"/>
    <w:rsid w:val="008B401C"/>
    <w:rsid w:val="008C19CB"/>
    <w:rsid w:val="008D46A5"/>
    <w:rsid w:val="008D5FC1"/>
    <w:rsid w:val="008D669B"/>
    <w:rsid w:val="008E735B"/>
    <w:rsid w:val="008F1A8B"/>
    <w:rsid w:val="008F3C64"/>
    <w:rsid w:val="009007E0"/>
    <w:rsid w:val="0090445E"/>
    <w:rsid w:val="009069AB"/>
    <w:rsid w:val="0091112A"/>
    <w:rsid w:val="00920D0B"/>
    <w:rsid w:val="0092232A"/>
    <w:rsid w:val="00935C62"/>
    <w:rsid w:val="00941ED1"/>
    <w:rsid w:val="009433D9"/>
    <w:rsid w:val="00944DA4"/>
    <w:rsid w:val="00946921"/>
    <w:rsid w:val="009523D2"/>
    <w:rsid w:val="0095523F"/>
    <w:rsid w:val="00963263"/>
    <w:rsid w:val="00971838"/>
    <w:rsid w:val="00971E65"/>
    <w:rsid w:val="0097353B"/>
    <w:rsid w:val="00973A11"/>
    <w:rsid w:val="00975272"/>
    <w:rsid w:val="00976BA0"/>
    <w:rsid w:val="00992E39"/>
    <w:rsid w:val="009946C4"/>
    <w:rsid w:val="009A07C7"/>
    <w:rsid w:val="009B0C2D"/>
    <w:rsid w:val="009B2080"/>
    <w:rsid w:val="009D1B8F"/>
    <w:rsid w:val="009D4692"/>
    <w:rsid w:val="009D6816"/>
    <w:rsid w:val="009E3F51"/>
    <w:rsid w:val="009F1940"/>
    <w:rsid w:val="009F45F3"/>
    <w:rsid w:val="009F63DD"/>
    <w:rsid w:val="00A005EC"/>
    <w:rsid w:val="00A036D8"/>
    <w:rsid w:val="00A05CE2"/>
    <w:rsid w:val="00A1233C"/>
    <w:rsid w:val="00A168A6"/>
    <w:rsid w:val="00A223F5"/>
    <w:rsid w:val="00A31B9C"/>
    <w:rsid w:val="00A31C49"/>
    <w:rsid w:val="00A33B77"/>
    <w:rsid w:val="00A3492A"/>
    <w:rsid w:val="00A45ED2"/>
    <w:rsid w:val="00A47BD0"/>
    <w:rsid w:val="00A55245"/>
    <w:rsid w:val="00A60758"/>
    <w:rsid w:val="00A61EBE"/>
    <w:rsid w:val="00A7616F"/>
    <w:rsid w:val="00A82B54"/>
    <w:rsid w:val="00A92AD8"/>
    <w:rsid w:val="00A9515A"/>
    <w:rsid w:val="00AA01F4"/>
    <w:rsid w:val="00AA5B3B"/>
    <w:rsid w:val="00AB4A36"/>
    <w:rsid w:val="00AB794A"/>
    <w:rsid w:val="00AC1230"/>
    <w:rsid w:val="00AD0BE2"/>
    <w:rsid w:val="00AD2015"/>
    <w:rsid w:val="00AD2204"/>
    <w:rsid w:val="00AD7BD0"/>
    <w:rsid w:val="00AF3888"/>
    <w:rsid w:val="00AF42E9"/>
    <w:rsid w:val="00AF509C"/>
    <w:rsid w:val="00AF578A"/>
    <w:rsid w:val="00AF7A87"/>
    <w:rsid w:val="00B01550"/>
    <w:rsid w:val="00B05348"/>
    <w:rsid w:val="00B05BC2"/>
    <w:rsid w:val="00B14226"/>
    <w:rsid w:val="00B1720A"/>
    <w:rsid w:val="00B17911"/>
    <w:rsid w:val="00B221B4"/>
    <w:rsid w:val="00B27CD4"/>
    <w:rsid w:val="00B33F45"/>
    <w:rsid w:val="00B400C9"/>
    <w:rsid w:val="00B44C57"/>
    <w:rsid w:val="00B45F36"/>
    <w:rsid w:val="00B46C38"/>
    <w:rsid w:val="00B5159B"/>
    <w:rsid w:val="00B529E8"/>
    <w:rsid w:val="00B55395"/>
    <w:rsid w:val="00B6151A"/>
    <w:rsid w:val="00B63041"/>
    <w:rsid w:val="00B642AD"/>
    <w:rsid w:val="00B650D0"/>
    <w:rsid w:val="00B70656"/>
    <w:rsid w:val="00B71430"/>
    <w:rsid w:val="00B758B6"/>
    <w:rsid w:val="00B80F9F"/>
    <w:rsid w:val="00B83E7A"/>
    <w:rsid w:val="00B910CD"/>
    <w:rsid w:val="00B918AB"/>
    <w:rsid w:val="00B935D9"/>
    <w:rsid w:val="00B95859"/>
    <w:rsid w:val="00BA345C"/>
    <w:rsid w:val="00BA3FF8"/>
    <w:rsid w:val="00BA778A"/>
    <w:rsid w:val="00BB2ADA"/>
    <w:rsid w:val="00BD5FC5"/>
    <w:rsid w:val="00BF3870"/>
    <w:rsid w:val="00BF3D27"/>
    <w:rsid w:val="00C02749"/>
    <w:rsid w:val="00C039E3"/>
    <w:rsid w:val="00C13692"/>
    <w:rsid w:val="00C31E59"/>
    <w:rsid w:val="00C32CEC"/>
    <w:rsid w:val="00C42595"/>
    <w:rsid w:val="00C51B11"/>
    <w:rsid w:val="00C56EE9"/>
    <w:rsid w:val="00C61A4B"/>
    <w:rsid w:val="00C6653C"/>
    <w:rsid w:val="00C66C86"/>
    <w:rsid w:val="00C718E4"/>
    <w:rsid w:val="00C725E4"/>
    <w:rsid w:val="00C73759"/>
    <w:rsid w:val="00C73F5F"/>
    <w:rsid w:val="00C74BB2"/>
    <w:rsid w:val="00C80670"/>
    <w:rsid w:val="00C81926"/>
    <w:rsid w:val="00C84D6B"/>
    <w:rsid w:val="00C90E21"/>
    <w:rsid w:val="00C91A70"/>
    <w:rsid w:val="00C92280"/>
    <w:rsid w:val="00CA5B02"/>
    <w:rsid w:val="00CA6652"/>
    <w:rsid w:val="00CB73DA"/>
    <w:rsid w:val="00CB7695"/>
    <w:rsid w:val="00CC35DC"/>
    <w:rsid w:val="00CD0390"/>
    <w:rsid w:val="00CD4741"/>
    <w:rsid w:val="00CE6581"/>
    <w:rsid w:val="00CF51B0"/>
    <w:rsid w:val="00D05E65"/>
    <w:rsid w:val="00D1016C"/>
    <w:rsid w:val="00D111CE"/>
    <w:rsid w:val="00D503B0"/>
    <w:rsid w:val="00D50D1D"/>
    <w:rsid w:val="00D51679"/>
    <w:rsid w:val="00D56513"/>
    <w:rsid w:val="00D63037"/>
    <w:rsid w:val="00D67DA9"/>
    <w:rsid w:val="00D92CB3"/>
    <w:rsid w:val="00DA0EFE"/>
    <w:rsid w:val="00DA5D82"/>
    <w:rsid w:val="00DB4D4D"/>
    <w:rsid w:val="00DB6CEB"/>
    <w:rsid w:val="00DC0F41"/>
    <w:rsid w:val="00DC289A"/>
    <w:rsid w:val="00DC6919"/>
    <w:rsid w:val="00DC7A28"/>
    <w:rsid w:val="00DE175E"/>
    <w:rsid w:val="00DE2CD9"/>
    <w:rsid w:val="00DE4194"/>
    <w:rsid w:val="00DF5123"/>
    <w:rsid w:val="00DF5C52"/>
    <w:rsid w:val="00DF60FF"/>
    <w:rsid w:val="00E13710"/>
    <w:rsid w:val="00E1540C"/>
    <w:rsid w:val="00E16DAE"/>
    <w:rsid w:val="00E22F9D"/>
    <w:rsid w:val="00E23E9D"/>
    <w:rsid w:val="00E63850"/>
    <w:rsid w:val="00E66C43"/>
    <w:rsid w:val="00E76BFD"/>
    <w:rsid w:val="00E82F75"/>
    <w:rsid w:val="00E85042"/>
    <w:rsid w:val="00E95BA3"/>
    <w:rsid w:val="00E96CE3"/>
    <w:rsid w:val="00EA0FFB"/>
    <w:rsid w:val="00EA44F6"/>
    <w:rsid w:val="00EA6F1B"/>
    <w:rsid w:val="00EA7A6E"/>
    <w:rsid w:val="00EB79F5"/>
    <w:rsid w:val="00EB7BBC"/>
    <w:rsid w:val="00EC063D"/>
    <w:rsid w:val="00ED03A6"/>
    <w:rsid w:val="00ED096E"/>
    <w:rsid w:val="00ED5322"/>
    <w:rsid w:val="00EE6945"/>
    <w:rsid w:val="00EE6E2B"/>
    <w:rsid w:val="00EF0695"/>
    <w:rsid w:val="00EF55CA"/>
    <w:rsid w:val="00EF5870"/>
    <w:rsid w:val="00EF768B"/>
    <w:rsid w:val="00EF7F81"/>
    <w:rsid w:val="00F02769"/>
    <w:rsid w:val="00F1092D"/>
    <w:rsid w:val="00F149F4"/>
    <w:rsid w:val="00F2406D"/>
    <w:rsid w:val="00F41888"/>
    <w:rsid w:val="00F51CFD"/>
    <w:rsid w:val="00F53418"/>
    <w:rsid w:val="00F541E4"/>
    <w:rsid w:val="00F6044A"/>
    <w:rsid w:val="00F72AC0"/>
    <w:rsid w:val="00F75226"/>
    <w:rsid w:val="00F75637"/>
    <w:rsid w:val="00F808AC"/>
    <w:rsid w:val="00F8595E"/>
    <w:rsid w:val="00F90F22"/>
    <w:rsid w:val="00F9193C"/>
    <w:rsid w:val="00F955CF"/>
    <w:rsid w:val="00FA0FFC"/>
    <w:rsid w:val="00FA20B5"/>
    <w:rsid w:val="00FB30F0"/>
    <w:rsid w:val="00FB517C"/>
    <w:rsid w:val="00FB5518"/>
    <w:rsid w:val="00FB5F3C"/>
    <w:rsid w:val="00FC5621"/>
    <w:rsid w:val="00FD0D9F"/>
    <w:rsid w:val="00FD525B"/>
    <w:rsid w:val="00FD64F4"/>
    <w:rsid w:val="00FD6836"/>
    <w:rsid w:val="00FD6FF6"/>
    <w:rsid w:val="00FE5CBB"/>
    <w:rsid w:val="00FF5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link w:val="Heading1Char"/>
    <w:uiPriority w:val="9"/>
    <w:qFormat/>
    <w:rsid w:val="00845E94"/>
    <w:pPr>
      <w:spacing w:before="100" w:beforeAutospacing="1" w:after="100" w:afterAutospacing="1" w:line="240" w:lineRule="auto"/>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basedOn w:val="Normal"/>
    <w:qFormat/>
    <w:rsid w:val="00307907"/>
    <w:pPr>
      <w:ind w:left="720"/>
      <w:contextualSpacing/>
    </w:pPr>
  </w:style>
  <w:style w:type="character" w:styleId="PageNumber">
    <w:name w:val="page number"/>
    <w:basedOn w:val="DefaultParagraphFont"/>
    <w:rsid w:val="005C5ABC"/>
  </w:style>
  <w:style w:type="paragraph" w:styleId="NoSpacing">
    <w:name w:val="No Spacing"/>
    <w:aliases w:val="Body text"/>
    <w:link w:val="NoSpacingChar"/>
    <w:uiPriority w:val="1"/>
    <w:qFormat/>
    <w:rsid w:val="009F45F3"/>
    <w:rPr>
      <w:sz w:val="22"/>
      <w:szCs w:val="22"/>
      <w:lang w:val="en-US" w:eastAsia="en-US"/>
    </w:rPr>
  </w:style>
  <w:style w:type="character" w:styleId="Hyperlink">
    <w:name w:val="Hyperlink"/>
    <w:basedOn w:val="DefaultParagraphFont"/>
    <w:uiPriority w:val="99"/>
    <w:unhideWhenUsed/>
    <w:rsid w:val="00163A53"/>
    <w:rPr>
      <w:color w:val="0563C1" w:themeColor="hyperlink"/>
      <w:u w:val="single"/>
    </w:rPr>
  </w:style>
  <w:style w:type="character" w:customStyle="1" w:styleId="UnresolvedMention1">
    <w:name w:val="Unresolved Mention1"/>
    <w:basedOn w:val="DefaultParagraphFont"/>
    <w:uiPriority w:val="99"/>
    <w:semiHidden/>
    <w:unhideWhenUsed/>
    <w:rsid w:val="00163A53"/>
    <w:rPr>
      <w:color w:val="605E5C"/>
      <w:shd w:val="clear" w:color="auto" w:fill="E1DFDD"/>
    </w:rPr>
  </w:style>
  <w:style w:type="table" w:styleId="TableGrid">
    <w:name w:val="Table Grid"/>
    <w:basedOn w:val="TableNormal"/>
    <w:uiPriority w:val="39"/>
    <w:unhideWhenUsed/>
    <w:rsid w:val="00104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E94"/>
    <w:rPr>
      <w:rFonts w:ascii="Times New Roman" w:eastAsia="Times New Roman" w:hAnsi="Times New Roman"/>
      <w:b/>
      <w:bCs/>
      <w:kern w:val="36"/>
      <w:sz w:val="48"/>
      <w:szCs w:val="48"/>
      <w:lang w:val="en-US" w:eastAsia="en-US"/>
    </w:rPr>
  </w:style>
  <w:style w:type="character" w:customStyle="1" w:styleId="NoSpacingChar">
    <w:name w:val="No Spacing Char"/>
    <w:aliases w:val="Body text Char"/>
    <w:link w:val="NoSpacing"/>
    <w:uiPriority w:val="1"/>
    <w:rsid w:val="00845E94"/>
    <w:rPr>
      <w:sz w:val="22"/>
      <w:szCs w:val="22"/>
      <w:lang w:val="en-US" w:eastAsia="en-US"/>
    </w:rPr>
  </w:style>
  <w:style w:type="character" w:styleId="CommentReference">
    <w:name w:val="annotation reference"/>
    <w:basedOn w:val="DefaultParagraphFont"/>
    <w:uiPriority w:val="99"/>
    <w:semiHidden/>
    <w:unhideWhenUsed/>
    <w:rsid w:val="00C80670"/>
    <w:rPr>
      <w:sz w:val="16"/>
      <w:szCs w:val="16"/>
    </w:rPr>
  </w:style>
  <w:style w:type="paragraph" w:styleId="CommentText">
    <w:name w:val="annotation text"/>
    <w:basedOn w:val="Normal"/>
    <w:link w:val="CommentTextChar"/>
    <w:uiPriority w:val="99"/>
    <w:semiHidden/>
    <w:unhideWhenUsed/>
    <w:rsid w:val="00C80670"/>
    <w:pPr>
      <w:spacing w:line="240" w:lineRule="auto"/>
    </w:pPr>
    <w:rPr>
      <w:sz w:val="20"/>
      <w:szCs w:val="20"/>
    </w:rPr>
  </w:style>
  <w:style w:type="character" w:customStyle="1" w:styleId="CommentTextChar">
    <w:name w:val="Comment Text Char"/>
    <w:basedOn w:val="DefaultParagraphFont"/>
    <w:link w:val="CommentText"/>
    <w:uiPriority w:val="99"/>
    <w:semiHidden/>
    <w:rsid w:val="00C80670"/>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C80670"/>
    <w:rPr>
      <w:b/>
      <w:bCs/>
    </w:rPr>
  </w:style>
  <w:style w:type="character" w:customStyle="1" w:styleId="CommentSubjectChar">
    <w:name w:val="Comment Subject Char"/>
    <w:basedOn w:val="CommentTextChar"/>
    <w:link w:val="CommentSubject"/>
    <w:uiPriority w:val="99"/>
    <w:semiHidden/>
    <w:rsid w:val="00C80670"/>
    <w:rPr>
      <w:rFonts w:eastAsia="Times New Roman"/>
      <w:b/>
      <w:bCs/>
      <w:lang w:val="en-US" w:eastAsia="en-US" w:bidi="en-US"/>
    </w:rPr>
  </w:style>
  <w:style w:type="paragraph" w:styleId="Revision">
    <w:name w:val="Revision"/>
    <w:hidden/>
    <w:uiPriority w:val="99"/>
    <w:semiHidden/>
    <w:rsid w:val="00B400C9"/>
    <w:rPr>
      <w:rFonts w:eastAsia="Times New Roman"/>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paragraph" w:styleId="Heading1">
    <w:name w:val="heading 1"/>
    <w:basedOn w:val="Normal"/>
    <w:link w:val="Heading1Char"/>
    <w:uiPriority w:val="9"/>
    <w:qFormat/>
    <w:rsid w:val="00845E94"/>
    <w:pPr>
      <w:spacing w:before="100" w:beforeAutospacing="1" w:after="100" w:afterAutospacing="1" w:line="240" w:lineRule="auto"/>
      <w:outlineLvl w:val="0"/>
    </w:pPr>
    <w:rPr>
      <w:rFonts w:ascii="Times New Roman" w:hAnsi="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basedOn w:val="Normal"/>
    <w:qFormat/>
    <w:rsid w:val="00307907"/>
    <w:pPr>
      <w:ind w:left="720"/>
      <w:contextualSpacing/>
    </w:pPr>
  </w:style>
  <w:style w:type="character" w:styleId="PageNumber">
    <w:name w:val="page number"/>
    <w:basedOn w:val="DefaultParagraphFont"/>
    <w:rsid w:val="005C5ABC"/>
  </w:style>
  <w:style w:type="paragraph" w:styleId="NoSpacing">
    <w:name w:val="No Spacing"/>
    <w:aliases w:val="Body text"/>
    <w:link w:val="NoSpacingChar"/>
    <w:uiPriority w:val="1"/>
    <w:qFormat/>
    <w:rsid w:val="009F45F3"/>
    <w:rPr>
      <w:sz w:val="22"/>
      <w:szCs w:val="22"/>
      <w:lang w:val="en-US" w:eastAsia="en-US"/>
    </w:rPr>
  </w:style>
  <w:style w:type="character" w:styleId="Hyperlink">
    <w:name w:val="Hyperlink"/>
    <w:basedOn w:val="DefaultParagraphFont"/>
    <w:uiPriority w:val="99"/>
    <w:unhideWhenUsed/>
    <w:rsid w:val="00163A53"/>
    <w:rPr>
      <w:color w:val="0563C1" w:themeColor="hyperlink"/>
      <w:u w:val="single"/>
    </w:rPr>
  </w:style>
  <w:style w:type="character" w:customStyle="1" w:styleId="UnresolvedMention1">
    <w:name w:val="Unresolved Mention1"/>
    <w:basedOn w:val="DefaultParagraphFont"/>
    <w:uiPriority w:val="99"/>
    <w:semiHidden/>
    <w:unhideWhenUsed/>
    <w:rsid w:val="00163A53"/>
    <w:rPr>
      <w:color w:val="605E5C"/>
      <w:shd w:val="clear" w:color="auto" w:fill="E1DFDD"/>
    </w:rPr>
  </w:style>
  <w:style w:type="table" w:styleId="TableGrid">
    <w:name w:val="Table Grid"/>
    <w:basedOn w:val="TableNormal"/>
    <w:uiPriority w:val="39"/>
    <w:unhideWhenUsed/>
    <w:rsid w:val="00104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5E94"/>
    <w:rPr>
      <w:rFonts w:ascii="Times New Roman" w:eastAsia="Times New Roman" w:hAnsi="Times New Roman"/>
      <w:b/>
      <w:bCs/>
      <w:kern w:val="36"/>
      <w:sz w:val="48"/>
      <w:szCs w:val="48"/>
      <w:lang w:val="en-US" w:eastAsia="en-US"/>
    </w:rPr>
  </w:style>
  <w:style w:type="character" w:customStyle="1" w:styleId="NoSpacingChar">
    <w:name w:val="No Spacing Char"/>
    <w:aliases w:val="Body text Char"/>
    <w:link w:val="NoSpacing"/>
    <w:uiPriority w:val="1"/>
    <w:rsid w:val="00845E94"/>
    <w:rPr>
      <w:sz w:val="22"/>
      <w:szCs w:val="22"/>
      <w:lang w:val="en-US" w:eastAsia="en-US"/>
    </w:rPr>
  </w:style>
  <w:style w:type="character" w:styleId="CommentReference">
    <w:name w:val="annotation reference"/>
    <w:basedOn w:val="DefaultParagraphFont"/>
    <w:uiPriority w:val="99"/>
    <w:semiHidden/>
    <w:unhideWhenUsed/>
    <w:rsid w:val="00C80670"/>
    <w:rPr>
      <w:sz w:val="16"/>
      <w:szCs w:val="16"/>
    </w:rPr>
  </w:style>
  <w:style w:type="paragraph" w:styleId="CommentText">
    <w:name w:val="annotation text"/>
    <w:basedOn w:val="Normal"/>
    <w:link w:val="CommentTextChar"/>
    <w:uiPriority w:val="99"/>
    <w:semiHidden/>
    <w:unhideWhenUsed/>
    <w:rsid w:val="00C80670"/>
    <w:pPr>
      <w:spacing w:line="240" w:lineRule="auto"/>
    </w:pPr>
    <w:rPr>
      <w:sz w:val="20"/>
      <w:szCs w:val="20"/>
    </w:rPr>
  </w:style>
  <w:style w:type="character" w:customStyle="1" w:styleId="CommentTextChar">
    <w:name w:val="Comment Text Char"/>
    <w:basedOn w:val="DefaultParagraphFont"/>
    <w:link w:val="CommentText"/>
    <w:uiPriority w:val="99"/>
    <w:semiHidden/>
    <w:rsid w:val="00C80670"/>
    <w:rPr>
      <w:rFonts w:eastAsia="Times New Roman"/>
      <w:lang w:val="en-US" w:eastAsia="en-US" w:bidi="en-US"/>
    </w:rPr>
  </w:style>
  <w:style w:type="paragraph" w:styleId="CommentSubject">
    <w:name w:val="annotation subject"/>
    <w:basedOn w:val="CommentText"/>
    <w:next w:val="CommentText"/>
    <w:link w:val="CommentSubjectChar"/>
    <w:uiPriority w:val="99"/>
    <w:semiHidden/>
    <w:unhideWhenUsed/>
    <w:rsid w:val="00C80670"/>
    <w:rPr>
      <w:b/>
      <w:bCs/>
    </w:rPr>
  </w:style>
  <w:style w:type="character" w:customStyle="1" w:styleId="CommentSubjectChar">
    <w:name w:val="Comment Subject Char"/>
    <w:basedOn w:val="CommentTextChar"/>
    <w:link w:val="CommentSubject"/>
    <w:uiPriority w:val="99"/>
    <w:semiHidden/>
    <w:rsid w:val="00C80670"/>
    <w:rPr>
      <w:rFonts w:eastAsia="Times New Roman"/>
      <w:b/>
      <w:bCs/>
      <w:lang w:val="en-US" w:eastAsia="en-US" w:bidi="en-US"/>
    </w:rPr>
  </w:style>
  <w:style w:type="paragraph" w:styleId="Revision">
    <w:name w:val="Revision"/>
    <w:hidden/>
    <w:uiPriority w:val="99"/>
    <w:semiHidden/>
    <w:rsid w:val="00B400C9"/>
    <w:rPr>
      <w:rFonts w:eastAsia="Times New Roman"/>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TATION\2019\Identitate\2019\antete\Antet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Antet_RO.dot</Template>
  <TotalTime>0</TotalTime>
  <Pages>9</Pages>
  <Words>4348</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28494</CharactersWithSpaces>
  <SharedDoc>false</SharedDoc>
  <HLinks>
    <vt:vector size="18"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2097199</vt:i4>
      </vt:variant>
      <vt:variant>
        <vt:i4>-1</vt:i4>
      </vt:variant>
      <vt:variant>
        <vt:i4>2055</vt:i4>
      </vt:variant>
      <vt:variant>
        <vt:i4>1</vt:i4>
      </vt:variant>
      <vt:variant>
        <vt:lpwstr>antet_2019-RO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Ana Cozea</cp:lastModifiedBy>
  <cp:revision>3</cp:revision>
  <cp:lastPrinted>2021-11-11T12:44:00Z</cp:lastPrinted>
  <dcterms:created xsi:type="dcterms:W3CDTF">2024-12-04T07:55:00Z</dcterms:created>
  <dcterms:modified xsi:type="dcterms:W3CDTF">2024-12-04T07:55:00Z</dcterms:modified>
</cp:coreProperties>
</file>